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1000"/>
        <w:jc w:val="center"/>
      </w:pPr>
      <w:r>
        <w:drawing>
          <wp:inline distT="0" distB="0" distL="0" distR="0">
            <wp:extent cx="952500" cy="103118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952500" cy="1031185"/>
                    </a:xfrm>
                    <a:prstGeom prst="rect">
                      <a:avLst/>
                    </a:prstGeom>
                  </pic:spPr>
                </pic:pic>
              </a:graphicData>
            </a:graphic>
          </wp:inline>
        </w:drawing>
      </w:r>
    </w:p>
    <w:p>
      <w:pPr>
        <w:spacing w:before="2000"/>
      </w:pPr>
    </w:p>
    <w:p>
      <w:pPr>
        <w:jc w:val="center"/>
      </w:pPr>
      <w:r>
        <w:rPr>
          <w:rFonts w:ascii="Arial" w:cs="Arial" w:eastAsia="Arial" w:hAnsi="Arial"/>
          <w:sz w:val="28"/>
          <w:szCs w:val="28"/>
        </w:rPr>
        <w:t xml:space="preserve">Sesión Plenaria</w:t>
      </w:r>
    </w:p>
    <w:p>
      <w:pPr>
        <w:jc w:val="center"/>
      </w:pPr>
      <w:r>
        <w:rPr>
          <w:rFonts w:ascii="Arial" w:cs="Arial" w:eastAsia="Arial" w:hAnsi="Arial"/>
          <w:sz w:val="28"/>
          <w:szCs w:val="28"/>
        </w:rPr>
        <w:t xml:space="preserve">Ordinaria</w:t>
      </w:r>
    </w:p>
    <w:p>
      <w:pPr>
        <w:spacing w:before="1000"/>
      </w:pPr>
    </w:p>
    <w:p>
      <w:pPr>
        <w:jc w:val="center"/>
      </w:pPr>
      <w:r>
        <w:rPr>
          <w:rFonts w:ascii="Arial" w:cs="Arial" w:eastAsia="Arial" w:hAnsi="Arial"/>
          <w:b/>
          <w:bCs/>
          <w:sz w:val="32"/>
          <w:szCs w:val="32"/>
        </w:rPr>
        <w:t xml:space="preserve">Acta 355</w:t>
      </w:r>
    </w:p>
    <w:p>
      <w:pPr>
        <w:spacing w:before="1000"/>
      </w:pPr>
    </w:p>
    <w:p>
      <w:pPr>
        <w:jc w:val="center"/>
      </w:pPr>
      <w:r>
        <w:rPr>
          <w:rFonts w:ascii="Arial" w:cs="Arial" w:eastAsia="Arial" w:hAnsi="Arial"/>
          <w:sz w:val="24"/>
          <w:szCs w:val="24"/>
        </w:rPr>
        <w:t xml:space="preserve">[FECHA POR VALIDAR]</w:t>
      </w:r>
    </w:p>
    <w:p>
      <w:r>
        <w:br w:type="page"/>
      </w:r>
    </w:p>
    <w:p>
      <w:pPr>
        <w:spacing w:after="240" w:line="360"/>
        <w:jc w:val="both"/>
      </w:pPr>
      <w:r>
        <w:rPr>
          <w:rFonts w:ascii="Arial" w:cs="Arial" w:eastAsia="Arial" w:hAnsi="Arial"/>
          <w:sz w:val="24"/>
          <w:szCs w:val="24"/>
        </w:rPr>
        <w:t xml:space="preserve">Acta 355   1:44:35   3:29:10</w:t>
      </w:r>
    </w:p>
    <w:p>
      <w:pPr>
        <w:spacing w:after="240" w:line="360"/>
        <w:jc w:val="both"/>
      </w:pPr>
      <w:r>
        <w:rPr>
          <w:rFonts w:ascii="Arial" w:cs="Arial" w:eastAsia="Arial" w:hAnsi="Arial"/>
          <w:sz w:val="24"/>
          <w:szCs w:val="24"/>
        </w:rPr>
        <w:t xml:space="preserve">Mary Luz Pérez Usma</w:t>
      </w:r>
    </w:p>
    <w:p>
      <w:pPr>
        <w:spacing w:before="400" w:after="200" w:line="360"/>
        <w:jc w:val="left"/>
      </w:pPr>
      <w:r>
        <w:rPr>
          <w:rFonts w:ascii="Arial" w:cs="Arial" w:eastAsia="Arial" w:hAnsi="Arial"/>
          <w:b/>
          <w:bCs/>
          <w:sz w:val="24"/>
          <w:szCs w:val="24"/>
        </w:rPr>
        <w:t xml:space="preserve">Intervino la directora técnica de la Unidad Administrativa Buen Comienzo, Laura Victoria Gómez Naranjo:</w:t>
      </w:r>
    </w:p>
    <w:p>
      <w:pPr>
        <w:spacing w:after="240" w:line="300"/>
        <w:ind w:left="720" w:right="720"/>
        <w:jc w:val="both"/>
      </w:pPr>
      <w:r>
        <w:rPr>
          <w:rFonts w:ascii="Arial" w:cs="Arial" w:eastAsia="Arial" w:hAnsi="Arial"/>
          <w:sz w:val="22"/>
          <w:szCs w:val="22"/>
        </w:rPr>
        <w:t xml:space="preserve">“Como lo decían, desde la parte de la secretaría de Hacienda a la Unidad Administrativa Especial Buen Comienzo le es asignado recursos por el SGP (Sistema General de Participaciones) de libre inversión para dos proyectos:</w:t>
      </w:r>
    </w:p>
    <w:p>
      <w:pPr>
        <w:spacing w:after="100"/>
      </w:pPr>
    </w:p>
    <w:p>
      <w:pPr>
        <w:spacing w:before="200" w:after="200"/>
        <w:jc w:val="center"/>
      </w:pPr>
      <w:r>
        <w:drawing>
          <wp:inline distT="0" distB="0" distL="0" distR="0">
            <wp:extent cx="4286250" cy="1899039"/>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286250" cy="1899039"/>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Para la vigencia 2025, hoy de acuerdo con el valor asignado que tenemos, están distribuidos en tres proyectos de inversión que apuntan a la primera infancia:</w:t>
      </w:r>
    </w:p>
    <w:p>
      <w:pPr>
        <w:spacing w:after="100"/>
      </w:pPr>
    </w:p>
    <w:p>
      <w:pPr>
        <w:spacing w:before="200" w:after="200"/>
        <w:jc w:val="center"/>
      </w:pPr>
      <w:r>
        <w:drawing>
          <wp:inline distT="0" distB="0" distL="0" distR="0">
            <wp:extent cx="4286250" cy="217523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286250" cy="217523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Hoy dentro de los logros que podemos contemplar en cada uno de los proyectos donde se han enmarcado estos recursos del SGP, es básicamente en el proyecto Nutrir para Sanar, Sanar para Crecer que ha tenido un impacto significativo en 2024, se lograron atender a 18 570 niños y mujeres gestantes y lactantes a través de esas intervenciones a nivel nutricional del programa. En el periodo 2025 logramos 16 700 niños y niñas.</w:t>
      </w:r>
    </w:p>
    <w:p>
      <w:pPr>
        <w:spacing w:after="240" w:line="360"/>
        <w:jc w:val="both"/>
      </w:pPr>
      <w:r>
        <w:rPr>
          <w:rFonts w:ascii="Arial" w:cs="Arial" w:eastAsia="Arial" w:hAnsi="Arial"/>
          <w:sz w:val="24"/>
          <w:szCs w:val="24"/>
        </w:rPr>
        <w:t xml:space="preserve">A través del programa del servicio de atención integral que brindamos en los jardines y centros a través del acompañamiento de pedagogía, seguimiento al desarrollo, salud, alimentación, nutrición, protección a la familia y comunidad.</w:t>
      </w:r>
    </w:p>
    <w:p>
      <w:pPr>
        <w:spacing w:after="240" w:line="360"/>
        <w:jc w:val="both"/>
      </w:pPr>
      <w:r>
        <w:rPr>
          <w:rFonts w:ascii="Arial" w:cs="Arial" w:eastAsia="Arial" w:hAnsi="Arial"/>
          <w:sz w:val="24"/>
          <w:szCs w:val="24"/>
        </w:rPr>
        <w:t xml:space="preserve">Estos recursos que nos asignaron por el SGP junto con el recurso asignado por el Distrito, nos permitieron cofinanciar esa atención integral que brindamos en centros y jardines infantiles de la primera infancia.</w:t>
      </w:r>
    </w:p>
    <w:p>
      <w:pPr>
        <w:spacing w:after="240" w:line="360"/>
        <w:jc w:val="both"/>
      </w:pPr>
      <w:r>
        <w:rPr>
          <w:rFonts w:ascii="Arial" w:cs="Arial" w:eastAsia="Arial" w:hAnsi="Arial"/>
          <w:sz w:val="24"/>
          <w:szCs w:val="24"/>
        </w:rPr>
        <w:t xml:space="preserve">Hablando específicamente de la vigencia 2025, este año tuvimos una asignación del recurso del SGP, también para el proyecto de infraestructura educativa que hoy está marcado en la construcción que continuamos avanzando del jardín infantil en San Sebastián y Palmitas. En este jardín infantil tendremos una infraestructura con capacidad para 150 niños vinculados directamente para Buen comienzo, y 100 niños que será un proyecto articulador con la secretaría de Educación y la Héctor Rogelio”.</w:t>
      </w:r>
    </w:p>
    <w:p>
      <w:pPr>
        <w:spacing w:before="400" w:after="200" w:line="360"/>
        <w:jc w:val="left"/>
      </w:pPr>
      <w:r>
        <w:rPr>
          <w:rFonts w:ascii="Arial" w:cs="Arial" w:eastAsia="Arial" w:hAnsi="Arial"/>
          <w:b/>
          <w:bCs/>
          <w:sz w:val="24"/>
          <w:szCs w:val="24"/>
        </w:rPr>
        <w:t xml:space="preserve">Intervino el subsecretario administrativo de la secretaría de Educación, Anderson García Cano:</w:t>
      </w:r>
    </w:p>
    <w:p>
      <w:pPr>
        <w:spacing w:after="240" w:line="300"/>
        <w:ind w:left="720" w:right="720"/>
        <w:jc w:val="both"/>
      </w:pPr>
      <w:r>
        <w:rPr>
          <w:rFonts w:ascii="Arial" w:cs="Arial" w:eastAsia="Arial" w:hAnsi="Arial"/>
          <w:sz w:val="22"/>
          <w:szCs w:val="22"/>
        </w:rPr>
        <w:t xml:space="preserve">“En el caso de la secretaría de Educación, los recursos que recibimos por el SGP vienen por dos categorías principalmente, aquí tenemos una distribución porque separamos lo que tiene que ver con los rendimientos financieros del sistema general, pero las dos categorías corresponden a la prestación del servicio y calidad:</w:t>
      </w:r>
    </w:p>
    <w:p>
      <w:pPr>
        <w:spacing w:after="100"/>
      </w:pPr>
    </w:p>
    <w:p>
      <w:pPr>
        <w:spacing w:before="200" w:after="200"/>
        <w:jc w:val="center"/>
      </w:pPr>
      <w:r>
        <w:drawing>
          <wp:inline distT="0" distB="0" distL="0" distR="0">
            <wp:extent cx="4286250" cy="221154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286250" cy="221154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el concepto de prestación de servicio, específicamente en lo que tiene que ver con asuntos relacionados con la nómina de maestros, también es muy importante destacar:</w:t>
      </w:r>
    </w:p>
    <w:p>
      <w:pPr>
        <w:spacing w:after="100"/>
      </w:pPr>
    </w:p>
    <w:p>
      <w:pPr>
        <w:spacing w:before="200" w:after="200"/>
        <w:jc w:val="center"/>
      </w:pPr>
      <w:r>
        <w:drawing>
          <wp:inline distT="0" distB="0" distL="0" distR="0">
            <wp:extent cx="4286250" cy="2235218"/>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286250" cy="2235218"/>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Ese es un componente obviamente muy importante para la prestación del servicio y donde está concentrada la mayor parte del recurso, que corresponde a casi toda la asignación del SGP que recibe la secretaría.</w:t>
      </w:r>
    </w:p>
    <w:p>
      <w:pPr>
        <w:spacing w:after="240" w:line="360"/>
        <w:jc w:val="both"/>
      </w:pPr>
      <w:r>
        <w:rPr>
          <w:rFonts w:ascii="Arial" w:cs="Arial" w:eastAsia="Arial" w:hAnsi="Arial"/>
          <w:sz w:val="24"/>
          <w:szCs w:val="24"/>
        </w:rPr>
        <w:t xml:space="preserve">Otros conceptos que reciben recursos de parte del SGP en el que puedo decir que es una cofinanciación de los elementos de la prestación del servicio cercana o entre un 30 y un 40 % de lo que es el costo final de esas actividades en la ciudad, por ejemplo:El pago de riesgos para los estudiantes de media técnica que realizan prácticas en empresas.la conectividad con un valor muy cercano a un 30 % de lo que realmente cuesta para los 421 establecimientos educativos.En el componente de educación inclusiva que también es muy importante y cercano a un 25 % de lo que cuesta.La cobertura que corresponde a la financiación que efectuamos a través de privados, en lugares donde la oficialidad no tiene la disponibilidad de cupos.En cuanto al SGP Calidad, hay que destacar que en el componente específico de calidad el elemento de mayor crecimiento por un lado y segundo de mayor volumen corresponde al concepto de gratuidad, que son recursos que el ministerio gira directamente a los fondos de servicios educativos de las instituciones educativas, ese no es un recurso que la secretaría de Educación haga una ordenación del gasto, pasa por la secretaría como un recurso sin situación de fondo, pero hace parte de los fondos de servicios educativos, y aquí destacar que entre 2024 y 2025 el ministerio hizo un incremento en los recursos que llegan a los fondos de servicios, toda esa ordenación de ese recurso corresponde a los rectores de las instituciones educativas para las necesidades que tienen:</w:t>
      </w:r>
    </w:p>
    <w:p>
      <w:pPr>
        <w:spacing w:after="100"/>
      </w:pPr>
    </w:p>
    <w:p>
      <w:pPr>
        <w:spacing w:before="200" w:after="200"/>
        <w:jc w:val="center"/>
      </w:pPr>
      <w:r>
        <w:drawing>
          <wp:inline distT="0" distB="0" distL="0" distR="0">
            <wp:extent cx="4286250" cy="2091839"/>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2091839"/>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El resto del componente de SGP Calidad, corresponde a una fracción también del transporte escolar cercana al 35%, el pago de servicios públicos también en una fracción de lo que es el costo, y ya por unos remanentes de años anteriores por asuntos asociados al mantenimiento, pero no es allí donde se concentra la mayor parte del recurso del SGP Calidad.</w:t>
      </w:r>
    </w:p>
    <w:p>
      <w:pPr>
        <w:spacing w:after="240" w:line="360"/>
        <w:jc w:val="both"/>
      </w:pPr>
      <w:r>
        <w:rPr>
          <w:rFonts w:ascii="Arial" w:cs="Arial" w:eastAsia="Arial" w:hAnsi="Arial"/>
          <w:sz w:val="24"/>
          <w:szCs w:val="24"/>
        </w:rPr>
        <w:t xml:space="preserve">Algunos logros con respecto a los recursos del SGP:La garantía del funcionamiento técnico, operativo y administrativo de la secretaría de Educación y sus 421 sedes educativas.En ningún momento hemos tenido deficiencias en la operación de aspectos como vigilancia, aseo, apoyo administrativo y pago de servicios públicos en lo que corresponde a 2024 a 2025, que son el funcionamiento del sistema educativo Distrital.El pago de la nómina oportuno para todos los docentes directivos, docentes y personal administrativo de las instituciones educativas.El giro que se le debe reconocer a los establecimientos educativos con toda la oportunidad y celeridad. En el componente de cobertura de riesgos laborales tenemos 43 000 estudiantes beneficiados en media técnica, cerca de 8000 estudiantes beneficiados como estudiantes con discapacidad. La certificación de la cobertura contratada por más de 30 000 cupos de los cuales el 80 % lo financia el SGP, el restante hace parte de recursos propios.Aproximadamente 11 000 estudiantes beneficiarios en transporte escolar, también como lo decía ahora, cerca de un 35 % de ese componente lo cubre los recursos del SGP”. Intervino el subsecretario administrativo y financiero de la secretaría de Salud, Alejandro Posada Jiménez:</w:t>
      </w:r>
    </w:p>
    <w:p>
      <w:pPr>
        <w:spacing w:after="240" w:line="300"/>
        <w:ind w:left="720" w:right="720"/>
        <w:jc w:val="both"/>
      </w:pPr>
      <w:r>
        <w:rPr>
          <w:rFonts w:ascii="Arial" w:cs="Arial" w:eastAsia="Arial" w:hAnsi="Arial"/>
          <w:sz w:val="22"/>
          <w:szCs w:val="22"/>
        </w:rPr>
        <w:t xml:space="preserve">“La secretaría de Salud, como ya lo informó la secretaría de Hacienda, en su presupuesto inicial para el 2024 recibió por el SGP $ 465 000 millones y para 2025 566 000, y para tener una idea el SGP en materia de salud tiene tres componentes:Garantizar el aseguramiento en salud, que podamos garantizar la afiliación de las personas que están en el régimen subsidio y pagar correspondientemente la UPC (Unidad de pago por capitación). En materia de salud pública, garantizar la financiación de las acciones colectivas.Subsidio a la oferta, que es atender los servicios de salud de la población pobre no asegurada. Siguiendo la estructura del plan de desarrollo, distribuimos el SGP en cuatro programas y 7 proyectos de la siguiente manera:</w:t>
      </w:r>
    </w:p>
    <w:p>
      <w:pPr>
        <w:spacing w:after="240" w:line="360"/>
        <w:jc w:val="both"/>
      </w:pPr>
      <w:r>
        <w:rPr>
          <w:rFonts w:ascii="Arial" w:cs="Arial" w:eastAsia="Arial" w:hAnsi="Arial"/>
          <w:sz w:val="24"/>
          <w:szCs w:val="24"/>
        </w:rPr>
        <w:t xml:space="preserve">En mantenimiento y aseguramiento de la salud, que es donde está casi el 94 % de los recursos del SGP, esto lo utilizamos -como lo estaba afirmando ahora- para garantizar la afiliación de las personas que están en el régimen subsidiado y el pago correspondiente de la UPC.</w:t>
      </w:r>
    </w:p>
    <w:p>
      <w:pPr>
        <w:spacing w:after="240" w:line="360"/>
        <w:jc w:val="both"/>
      </w:pPr>
      <w:r>
        <w:rPr>
          <w:rFonts w:ascii="Arial" w:cs="Arial" w:eastAsia="Arial" w:hAnsi="Arial"/>
          <w:sz w:val="24"/>
          <w:szCs w:val="24"/>
        </w:rPr>
        <w:t xml:space="preserve">Muy parecido a lo que pasa en la secretaría de Educación, este recurso no entra al presupuesto del Distrito, pasa sin situación de fondo y les compartimos algunos de los logros que este programa ha tenido durante las vigencias 2024 y 2025.</w:t>
      </w:r>
    </w:p>
    <w:p>
      <w:pPr>
        <w:spacing w:after="240" w:line="360"/>
        <w:jc w:val="both"/>
      </w:pPr>
      <w:r>
        <w:rPr>
          <w:rFonts w:ascii="Arial" w:cs="Arial" w:eastAsia="Arial" w:hAnsi="Arial"/>
          <w:sz w:val="24"/>
          <w:szCs w:val="24"/>
        </w:rPr>
        <w:t xml:space="preserve">Tal vez el más relevante es mantener la cobertura superior al 100 % del aseguramiento en salud en la ciudad de Medellín:</w:t>
      </w:r>
    </w:p>
    <w:p>
      <w:pPr>
        <w:spacing w:after="100"/>
      </w:pPr>
    </w:p>
    <w:p>
      <w:pPr>
        <w:spacing w:before="200" w:after="200"/>
        <w:jc w:val="center"/>
      </w:pPr>
      <w:r>
        <w:drawing>
          <wp:inline distT="0" distB="0" distL="0" distR="0">
            <wp:extent cx="4286250" cy="183344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286250" cy="183344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Un segundo programa es Medellín Te Quiere Saludable donde hay dos proyectos:Medellín Te Quiere Saludable, mediante la cual ejecutamos todo el plan de intervenciones colectivas, hemos atendido a más de 72 500 familias, más de 80 000 intervenciones en instituciones educativas; y en general acciones todas tendientes a garantizar la atención en salud mental, coberturas en vacunación, entre otras.Fortalecimiento de las capacidades técnicas en salud, lo que hacemos es garantizar la capacitación a estas instituciones promotoras de servicios de salud con los programas de EAPB (Entidades Administradoras de Planes de Beneficios). Ahí pueden ver los logros que se han obtenido durante estas vigencias:</w:t>
      </w:r>
    </w:p>
    <w:p>
      <w:pPr>
        <w:spacing w:before="200" w:after="200"/>
        <w:jc w:val="center"/>
      </w:pPr>
      <w:r>
        <w:drawing>
          <wp:inline distT="0" distB="0" distL="0" distR="0">
            <wp:extent cx="4286250" cy="1316139"/>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286250" cy="1316139"/>
                    </a:xfrm>
                    <a:prstGeom prst="rect">
                      <a:avLst/>
                    </a:prstGeom>
                  </pic:spPr>
                </pic:pic>
              </a:graphicData>
            </a:graphic>
          </wp:inline>
        </w:drawing>
      </w:r>
    </w:p>
    <w:p>
      <w:pPr>
        <w:spacing w:after="240" w:line="360"/>
        <w:jc w:val="both"/>
      </w:pPr>
      <w:r>
        <w:rPr>
          <w:rFonts w:ascii="Arial" w:cs="Arial" w:eastAsia="Arial" w:hAnsi="Arial"/>
          <w:sz w:val="24"/>
          <w:szCs w:val="24"/>
        </w:rPr>
        <w:t xml:space="preserve">Otro programa que financiamos con recursos del SGP es el de vigilancia en salud pública. Aquí tenemos un proyecto que es de control, eliminación y erradicación de todos los factores de riesgo. Aquí podemos ver todo lo que tiene que ver con la vigilancia epidemiológica destacando el porcentaje de vacunación:</w:t>
      </w:r>
    </w:p>
    <w:p>
      <w:pPr>
        <w:spacing w:before="200" w:after="200"/>
        <w:jc w:val="center"/>
      </w:pPr>
      <w:r>
        <w:drawing>
          <wp:inline distT="0" distB="0" distL="0" distR="0">
            <wp:extent cx="4286250" cy="2266201"/>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286250" cy="2266201"/>
                    </a:xfrm>
                    <a:prstGeom prst="rect">
                      <a:avLst/>
                    </a:prstGeom>
                  </pic:spPr>
                </pic:pic>
              </a:graphicData>
            </a:graphic>
          </wp:inline>
        </w:drawing>
      </w:r>
    </w:p>
    <w:p>
      <w:pPr>
        <w:spacing w:after="240" w:line="360"/>
        <w:jc w:val="both"/>
      </w:pPr>
      <w:r>
        <w:rPr>
          <w:rFonts w:ascii="Arial" w:cs="Arial" w:eastAsia="Arial" w:hAnsi="Arial"/>
          <w:sz w:val="24"/>
          <w:szCs w:val="24"/>
        </w:rPr>
        <w:t xml:space="preserve">Salud ambiental. En este programa tenemos tres proyectos financiados con recursos del SGP. El primer proyecto es el que tiene que ver con el control de factores de riesgo asociados a vectores y a zoonosis:</w:t>
      </w:r>
    </w:p>
    <w:p>
      <w:pPr>
        <w:spacing w:before="200" w:after="200"/>
        <w:jc w:val="center"/>
      </w:pPr>
      <w:r>
        <w:drawing>
          <wp:inline distT="0" distB="0" distL="0" distR="0">
            <wp:extent cx="4286250" cy="195583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286250" cy="1955836"/>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El segundo es la implementación del Programa PISA (Política Integral de Salud Ambiental):</w:t>
      </w:r>
    </w:p>
    <w:p>
      <w:pPr>
        <w:spacing w:after="100"/>
      </w:pPr>
    </w:p>
    <w:p>
      <w:pPr>
        <w:spacing w:before="200" w:after="200"/>
        <w:jc w:val="center"/>
      </w:pPr>
      <w:r>
        <w:drawing>
          <wp:inline distT="0" distB="0" distL="0" distR="0">
            <wp:extent cx="4286250" cy="195965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286250" cy="1959656"/>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 la implementación de inspección, vigilancia y control de factores de riesgo. Aquí hacemos todo lo que tiene que ver con las acciones de inspección, vigilancia y control sanitario:</w:t>
      </w:r>
    </w:p>
    <w:p>
      <w:pPr>
        <w:spacing w:after="100"/>
      </w:pPr>
    </w:p>
    <w:p>
      <w:pPr>
        <w:spacing w:before="200" w:after="200"/>
        <w:jc w:val="center"/>
      </w:pPr>
      <w:r>
        <w:drawing>
          <wp:inline distT="0" distB="0" distL="0" distR="0">
            <wp:extent cx="4286250" cy="2053773"/>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286250" cy="2053773"/>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Entre los principales logros. mantener las coberturas de las visitas, labores de inspección, vigilancia y control de orden sanitario reduciendo los riesgos asociados a la salud pública”.</w:t>
      </w:r>
    </w:p>
    <w:p>
      <w:pPr>
        <w:spacing w:before="400" w:after="200" w:line="360"/>
        <w:jc w:val="left"/>
      </w:pPr>
      <w:r>
        <w:rPr>
          <w:rFonts w:ascii="Arial" w:cs="Arial" w:eastAsia="Arial" w:hAnsi="Arial"/>
          <w:b/>
          <w:bCs/>
          <w:sz w:val="24"/>
          <w:szCs w:val="24"/>
        </w:rPr>
        <w:t xml:space="preserve">Intervino la subsecretaria de Servicios Públicos, Manuela García Gil:</w:t>
      </w:r>
    </w:p>
    <w:p>
      <w:pPr>
        <w:spacing w:after="240" w:line="300"/>
        <w:ind w:left="720" w:right="720"/>
        <w:jc w:val="both"/>
      </w:pPr>
      <w:r>
        <w:rPr>
          <w:rFonts w:ascii="Arial" w:cs="Arial" w:eastAsia="Arial" w:hAnsi="Arial"/>
          <w:sz w:val="22"/>
          <w:szCs w:val="22"/>
        </w:rPr>
        <w:t xml:space="preserve">“Me excuso por mi armoniosa voz, estoy un poco enferma. En la secretaría de Gestión y Control Territorial efectivamente recibimos recursos del SGP, todos están destinados a la subsecretaría de Servicios Públicos. El presupuesto asignado total para 2024 fue de $ 39 103 millones y para 2025 va en una asignación de $ 45 424 millones.</w:t>
      </w:r>
    </w:p>
    <w:p>
      <w:pPr>
        <w:spacing w:after="240" w:line="360"/>
        <w:jc w:val="both"/>
      </w:pPr>
      <w:r>
        <w:rPr>
          <w:rFonts w:ascii="Arial" w:cs="Arial" w:eastAsia="Arial" w:hAnsi="Arial"/>
          <w:sz w:val="24"/>
          <w:szCs w:val="24"/>
        </w:rPr>
        <w:t xml:space="preserve">Del presupuesto inicial que se asignó en 2024, los proyectos que se financiaron a través de este recurso lo primero fue para todos los subsidios que tienen que ver con el alcantarillado, acueducto y aseo, fueron $ 26 993 millones y ejecutamos 25 224; no ejecutamos la última onceava porque no pudimos, llegó muy al final del año, pero como bien sabrán son recursos de libre destinación y pasan a 2025 sin ningún inconveniente.</w:t>
      </w:r>
    </w:p>
    <w:p>
      <w:pPr>
        <w:spacing w:after="240" w:line="360"/>
        <w:jc w:val="both"/>
      </w:pPr>
      <w:r>
        <w:rPr>
          <w:rFonts w:ascii="Arial" w:cs="Arial" w:eastAsia="Arial" w:hAnsi="Arial"/>
          <w:sz w:val="24"/>
          <w:szCs w:val="24"/>
        </w:rPr>
        <w:t xml:space="preserve">Recordemos que los subsidios de acueducto, alcantarillado y aseo es lo que denominamos FSRI (Fondo de Solidaridad y Redistribución del Ingreso), que lo que busca es precisamente aliviar la tarifa en servicios públicos a las viviendas de estratos 1, 2 y 3. El recurso se distribuye tanto para las viviendas en ubicación rural como urbana.</w:t>
      </w:r>
    </w:p>
    <w:p>
      <w:pPr>
        <w:spacing w:after="240" w:line="360"/>
        <w:jc w:val="both"/>
      </w:pPr>
      <w:r>
        <w:rPr>
          <w:rFonts w:ascii="Arial" w:cs="Arial" w:eastAsia="Arial" w:hAnsi="Arial"/>
          <w:sz w:val="24"/>
          <w:szCs w:val="24"/>
        </w:rPr>
        <w:t xml:space="preserve">Dentro de estos beneficios, encontramos que fueron beneficiadas para el servicio de acueducto 314 693 viviendas; para el servicio de alcantarillado 294 507 viviendas; y el servicio de aseo 262 888 viviendas.</w:t>
      </w:r>
    </w:p>
    <w:p>
      <w:pPr>
        <w:spacing w:after="240" w:line="360"/>
        <w:jc w:val="both"/>
      </w:pPr>
      <w:r>
        <w:rPr>
          <w:rFonts w:ascii="Arial" w:cs="Arial" w:eastAsia="Arial" w:hAnsi="Arial"/>
          <w:sz w:val="24"/>
          <w:szCs w:val="24"/>
        </w:rPr>
        <w:t xml:space="preserve">También destinamos recursos a la ampliación de la cobertura en servicios públicos de acueducto y alcantarillado, específicamente $ 3000 millones se sumaron al Proyecto Unidos por el Agua, recordemos que tenemos como meta Distrital beneficiar a 50 000 hogares para que tengan acceso a una conexión legal de servicio, ya sea de agua potable y/o alcantarillado. Esta iniciativa está dirigida principalmente a hogares de estrato 1, 2 y 3, haciendo especial énfasis en fomentar la cultura de la legalidad y el cuidado del agua; aquí el gran logro que tuvimos en 2024 fue que cerramos el año con 5479 hogares que ahora cuentan con soluciones de acceso al servicio de agua potable, garantizando todo el tiempo la calidad del agua que estos hogares consumen.</w:t>
      </w:r>
    </w:p>
    <w:p>
      <w:pPr>
        <w:spacing w:after="240" w:line="360"/>
        <w:jc w:val="both"/>
      </w:pPr>
      <w:r>
        <w:rPr>
          <w:rFonts w:ascii="Arial" w:cs="Arial" w:eastAsia="Arial" w:hAnsi="Arial"/>
          <w:sz w:val="24"/>
          <w:szCs w:val="24"/>
        </w:rPr>
        <w:t xml:space="preserve">Otro proyecto que es financiado a través de recursos del SGP, es el de estrategias de agua potable y aguas residuales, se asignaron inicialmente $ 9109 millones, y adelantamos todas las obras que permiten la cobertura en estos servicios de acueducto y alcantarillado. Aquí les tenemos una lista de los proyectos que se financiaron en 2024:</w:t>
      </w:r>
    </w:p>
    <w:p>
      <w:pPr>
        <w:spacing w:after="100"/>
      </w:pPr>
    </w:p>
    <w:p>
      <w:pPr>
        <w:spacing w:before="200" w:after="200"/>
        <w:jc w:val="center"/>
      </w:pPr>
      <w:r>
        <w:drawing>
          <wp:inline distT="0" distB="0" distL="0" distR="0">
            <wp:extent cx="4286250" cy="2454519"/>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4286250" cy="2454519"/>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Entiéndase el contrato de carro tanques, que es cuando tenemos alguna emergencia ambiental o se interrumpe la prestación del servicio por alguna razón y cubrimos la necesidad básica del mínimo.</w:t>
      </w:r>
    </w:p>
    <w:p>
      <w:pPr>
        <w:spacing w:after="240" w:line="360"/>
        <w:jc w:val="both"/>
      </w:pPr>
      <w:r>
        <w:rPr>
          <w:rFonts w:ascii="Arial" w:cs="Arial" w:eastAsia="Arial" w:hAnsi="Arial"/>
          <w:sz w:val="24"/>
          <w:szCs w:val="24"/>
        </w:rPr>
        <w:t xml:space="preserve">En el PTAR (Planta de Tratamiento de Aguas Residuales) de Santa Elena la inversión fue muy importante porque es tecnología europea de último renglón, con la finalidad de entregar el agua en la mejor condición posible nuevamente a la quebrada.</w:t>
      </w:r>
    </w:p>
    <w:p>
      <w:pPr>
        <w:spacing w:after="240" w:line="360"/>
        <w:jc w:val="both"/>
      </w:pPr>
      <w:r>
        <w:rPr>
          <w:rFonts w:ascii="Arial" w:cs="Arial" w:eastAsia="Arial" w:hAnsi="Arial"/>
          <w:sz w:val="24"/>
          <w:szCs w:val="24"/>
        </w:rPr>
        <w:t xml:space="preserve">En San Sebastián de Palmitas fue una obra de alcantarillado, es uno de los corregimientos que en este momento tiene menor porcentaje de cobertura en agua potable y alcantarillado.</w:t>
      </w:r>
    </w:p>
    <w:p>
      <w:pPr>
        <w:spacing w:after="240" w:line="360"/>
        <w:jc w:val="both"/>
      </w:pPr>
      <w:r>
        <w:rPr>
          <w:rFonts w:ascii="Arial" w:cs="Arial" w:eastAsia="Arial" w:hAnsi="Arial"/>
          <w:sz w:val="24"/>
          <w:szCs w:val="24"/>
        </w:rPr>
        <w:t xml:space="preserve">Dentro de los logros alcanzados para la vigencia 2024 tenemos que 379 usuarios contaron con soluciones de agua potable, y 36 usuarios con soluciones de saneamiento básico.</w:t>
      </w:r>
    </w:p>
    <w:p>
      <w:pPr>
        <w:spacing w:after="240" w:line="360"/>
        <w:jc w:val="both"/>
      </w:pPr>
      <w:r>
        <w:rPr>
          <w:rFonts w:ascii="Arial" w:cs="Arial" w:eastAsia="Arial" w:hAnsi="Arial"/>
          <w:sz w:val="24"/>
          <w:szCs w:val="24"/>
        </w:rPr>
        <w:t xml:space="preserve">Para la vigencia 2025 los $ 45 000 millones que a la fecha hemos recibido se destinaron como presupuesto inicial para la implementación de subsidios de agua potable, alcantarillado y saneamiento básico, que es el fondo de solidaridad para estratos 1, 2 y 3:</w:t>
      </w:r>
    </w:p>
    <w:p>
      <w:pPr>
        <w:spacing w:after="100"/>
      </w:pPr>
    </w:p>
    <w:p>
      <w:pPr>
        <w:spacing w:before="200" w:after="200"/>
        <w:jc w:val="center"/>
      </w:pPr>
      <w:r>
        <w:drawing>
          <wp:inline distT="0" distB="0" distL="0" distR="0">
            <wp:extent cx="4286250" cy="198809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4286250" cy="198809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Recordemos que la proyección que tenemos para finalizar el año es que efectivamente se ejecuten todos los recursos asignados.</w:t>
      </w:r>
    </w:p>
    <w:p>
      <w:pPr>
        <w:spacing w:after="240" w:line="360"/>
        <w:jc w:val="both"/>
      </w:pPr>
      <w:r>
        <w:rPr>
          <w:rFonts w:ascii="Arial" w:cs="Arial" w:eastAsia="Arial" w:hAnsi="Arial"/>
          <w:sz w:val="24"/>
          <w:szCs w:val="24"/>
        </w:rPr>
        <w:t xml:space="preserve">Buscamos con esto beneficiar a las familias de los estratos 1, 2 y 3, y aliviar la factura de servicios públicos en estos tres renglones, recordemos que tenemos dependiendo del estrato subsidios de hasta el 80 %, y dependiendo también del tipo de servicio que les brindemos. Esos $ 6000 millones que nos quedan pendientes, según la proyección, los vamos a terminar de ejecutar sin ningún inconveniente en noviembre y diciembre.</w:t>
      </w:r>
    </w:p>
    <w:p>
      <w:pPr>
        <w:spacing w:after="240" w:line="360"/>
        <w:jc w:val="both"/>
      </w:pPr>
      <w:r>
        <w:rPr>
          <w:rFonts w:ascii="Arial" w:cs="Arial" w:eastAsia="Arial" w:hAnsi="Arial"/>
          <w:sz w:val="24"/>
          <w:szCs w:val="24"/>
        </w:rPr>
        <w:t xml:space="preserve">Logros alcanzados para 2025: en el servicio de acueducto 434 000 viviendas beneficiadas, en el servicio de alcantarillado 4558 viviendas, y en el servicio de aseo 413 626 viviendas. Y uno muy importante es que con estos recursos del SGP tenemos:</w:t>
      </w:r>
    </w:p>
    <w:p>
      <w:pPr>
        <w:spacing w:after="100"/>
      </w:pPr>
    </w:p>
    <w:p>
      <w:pPr>
        <w:spacing w:before="200" w:after="200"/>
        <w:jc w:val="center"/>
      </w:pPr>
      <w:r>
        <w:drawing>
          <wp:inline distT="0" distB="0" distL="0" distR="0">
            <wp:extent cx="4286250" cy="245275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4286250" cy="245275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Es para atender las obras que tuvimos que entrar a repotenciar y en algunos casos cambiar completamente la infraestructura, en las zonas que se vieron afectadas con el tema de la urgencia manifiesta que tuvimos entre abril y mayo. En este momento y a partir de esas obras, tuvimos aproximadamente 15 frentes de obra:</w:t>
      </w:r>
    </w:p>
    <w:p>
      <w:pPr>
        <w:spacing w:after="100"/>
      </w:pPr>
    </w:p>
    <w:p>
      <w:pPr>
        <w:spacing w:before="200" w:after="200"/>
        <w:jc w:val="center"/>
      </w:pPr>
      <w:r>
        <w:drawing>
          <wp:inline distT="0" distB="0" distL="0" distR="0">
            <wp:extent cx="4286250" cy="2264604"/>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4286250" cy="2264604"/>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 tenemos con perspectivas de terminarse entre enero y febrero: la PTAR de Buga, La Escolástica, Aguas Frías, Manzanillo, La Sorbetana, Manantial, El Vergel y Los Rieles; y el acueducto La China que requiere un viaducto importante. Estaremos atentos desde la secretaría de Gestión y Control Territorial por si tienen alguna inquietud al respecto”.</w:t>
      </w:r>
    </w:p>
    <w:p>
      <w:pPr>
        <w:spacing w:before="400" w:after="200" w:line="360"/>
        <w:jc w:val="left"/>
      </w:pPr>
      <w:r>
        <w:rPr>
          <w:rFonts w:ascii="Arial" w:cs="Arial" w:eastAsia="Arial" w:hAnsi="Arial"/>
          <w:b/>
          <w:bCs/>
          <w:sz w:val="24"/>
          <w:szCs w:val="24"/>
        </w:rPr>
        <w:t xml:space="preserve">Intervino el subdirector de escenarios del Inder (Instituto de Deportes y Recreación de Medellín), Carlos Alejandro Monsalve Toro:</w:t>
      </w:r>
    </w:p>
    <w:p>
      <w:pPr>
        <w:spacing w:after="240" w:line="300"/>
        <w:ind w:left="720" w:right="720"/>
        <w:jc w:val="both"/>
      </w:pPr>
      <w:r>
        <w:rPr>
          <w:rFonts w:ascii="Arial" w:cs="Arial" w:eastAsia="Arial" w:hAnsi="Arial"/>
          <w:sz w:val="22"/>
          <w:szCs w:val="22"/>
        </w:rPr>
        <w:t xml:space="preserve">“Dentro del SGP, para nosotros es una de las fuentes de financiación dentro del instituto…</w:t>
      </w:r>
    </w:p>
    <w:p>
      <w:pPr>
        <w:spacing w:before="200" w:after="200"/>
        <w:jc w:val="center"/>
      </w:pPr>
      <w:r>
        <w:drawing>
          <wp:inline distT="0" distB="0" distL="0" distR="0">
            <wp:extent cx="4286250" cy="464033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286250" cy="464033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Sesión Plenaria</w:t>
      </w:r>
    </w:p>
    <w:p>
      <w:pPr>
        <w:spacing w:after="240" w:line="360"/>
        <w:jc w:val="both"/>
      </w:pPr>
      <w:r>
        <w:rPr>
          <w:rFonts w:ascii="Arial" w:cs="Arial" w:eastAsia="Arial" w:hAnsi="Arial"/>
          <w:sz w:val="24"/>
          <w:szCs w:val="24"/>
        </w:rPr>
        <w:t xml:space="preserve">Ordinaria</w:t>
      </w:r>
    </w:p>
    <w:p>
      <w:pPr>
        <w:spacing w:after="240" w:line="360"/>
        <w:jc w:val="both"/>
      </w:pPr>
      <w:r>
        <w:rPr>
          <w:rFonts w:ascii="Arial" w:cs="Arial" w:eastAsia="Arial" w:hAnsi="Arial"/>
          <w:sz w:val="24"/>
          <w:szCs w:val="24"/>
        </w:rPr>
        <w:t xml:space="preserve">Acta 355</w:t>
      </w:r>
    </w:p>
    <w:p>
      <w:pPr>
        <w:spacing w:after="240" w:line="360"/>
        <w:jc w:val="both"/>
      </w:pPr>
      <w:r>
        <w:rPr>
          <w:rFonts w:ascii="Arial" w:cs="Arial" w:eastAsia="Arial" w:hAnsi="Arial"/>
          <w:sz w:val="24"/>
          <w:szCs w:val="24"/>
        </w:rPr>
        <w:t xml:space="preserve">16 de noviembre de 2025</w:t>
      </w:r>
    </w:p>
    <w:p>
      <w:pPr>
        <w:spacing w:after="240" w:line="360"/>
        <w:jc w:val="both"/>
      </w:pPr>
      <w:r>
        <w:rPr>
          <w:rFonts w:ascii="Arial" w:cs="Arial" w:eastAsia="Arial" w:hAnsi="Arial"/>
          <w:sz w:val="24"/>
          <w:szCs w:val="24"/>
        </w:rPr>
        <w:t xml:space="preserve">Índice</w:t>
      </w:r>
    </w:p>
    <w:p>
      <w:pPr>
        <w:spacing w:after="240" w:line="360"/>
        <w:jc w:val="both"/>
      </w:pPr>
      <w:r>
        <w:rPr>
          <w:rFonts w:ascii="Arial" w:cs="Arial" w:eastAsia="Arial" w:hAnsi="Arial"/>
          <w:sz w:val="24"/>
          <w:szCs w:val="24"/>
        </w:rPr>
        <w:t xml:space="preserve">Acta 355</w:t>
      </w:r>
    </w:p>
    <w:p>
      <w:pPr>
        <w:spacing w:after="240" w:line="360"/>
        <w:jc w:val="both"/>
      </w:pPr>
      <w:r>
        <w:rPr>
          <w:rFonts w:ascii="Arial" w:cs="Arial" w:eastAsia="Arial" w:hAnsi="Arial"/>
          <w:sz w:val="24"/>
          <w:szCs w:val="24"/>
        </w:rPr>
        <w:t xml:space="preserve">Asistencia											3</w:t>
      </w:r>
    </w:p>
    <w:p>
      <w:pPr>
        <w:spacing w:after="240" w:line="360"/>
        <w:jc w:val="both"/>
      </w:pPr>
      <w:r>
        <w:rPr>
          <w:rFonts w:ascii="Arial" w:cs="Arial" w:eastAsia="Arial" w:hAnsi="Arial"/>
          <w:sz w:val="24"/>
          <w:szCs w:val="24"/>
        </w:rPr>
        <w:t xml:space="preserve">Orden del día										4</w:t>
      </w:r>
    </w:p>
    <w:p>
      <w:pPr>
        <w:spacing w:after="240" w:line="360"/>
        <w:jc w:val="both"/>
      </w:pPr>
      <w:r>
        <w:rPr>
          <w:rFonts w:ascii="Arial" w:cs="Arial" w:eastAsia="Arial" w:hAnsi="Arial"/>
          <w:sz w:val="24"/>
          <w:szCs w:val="24"/>
        </w:rPr>
        <w:t xml:space="preserve">Aprobación del orden del día							4</w:t>
      </w:r>
    </w:p>
    <w:p>
      <w:pPr>
        <w:spacing w:after="240" w:line="360"/>
        <w:jc w:val="both"/>
      </w:pPr>
      <w:r>
        <w:rPr>
          <w:rFonts w:ascii="Arial" w:cs="Arial" w:eastAsia="Arial" w:hAnsi="Arial"/>
          <w:sz w:val="24"/>
          <w:szCs w:val="24"/>
        </w:rPr>
        <w:t xml:space="preserve">Invitación a funcionarios								4</w:t>
      </w:r>
    </w:p>
    <w:p>
      <w:pPr>
        <w:spacing w:before="600" w:after="300"/>
        <w:jc w:val="center"/>
      </w:pPr>
      <w:r>
        <w:rPr>
          <w:rFonts w:ascii="Arial" w:cs="Arial" w:eastAsia="Arial" w:hAnsi="Arial"/>
          <w:b/>
          <w:bCs/>
          <w:sz w:val="24"/>
          <w:szCs w:val="24"/>
        </w:rPr>
        <w:t xml:space="preserve">SESIÓN PLENARIA ORDINARIA</w:t>
      </w:r>
    </w:p>
    <w:p>
      <w:pPr>
        <w:spacing w:before="600" w:after="300"/>
        <w:jc w:val="center"/>
      </w:pPr>
      <w:r>
        <w:rPr>
          <w:rFonts w:ascii="Arial" w:cs="Arial" w:eastAsia="Arial" w:hAnsi="Arial"/>
          <w:b/>
          <w:bCs/>
          <w:sz w:val="24"/>
          <w:szCs w:val="24"/>
        </w:rPr>
        <w:t xml:space="preserve">ACTA 355</w:t>
      </w:r>
    </w:p>
    <w:p>
      <w:pPr>
        <w:spacing w:after="240" w:line="360"/>
        <w:jc w:val="both"/>
      </w:pPr>
      <w:r>
        <w:rPr>
          <w:rFonts w:ascii="Arial" w:cs="Arial" w:eastAsia="Arial" w:hAnsi="Arial"/>
          <w:sz w:val="24"/>
          <w:szCs w:val="24"/>
        </w:rPr>
        <w:t xml:space="preserve">FECHA:		Medellín, 16 de noviembre de 2025</w:t>
      </w:r>
    </w:p>
    <w:p>
      <w:pPr>
        <w:spacing w:after="240" w:line="360"/>
        <w:jc w:val="both"/>
      </w:pPr>
      <w:r>
        <w:rPr>
          <w:rFonts w:ascii="Arial" w:cs="Arial" w:eastAsia="Arial" w:hAnsi="Arial"/>
          <w:sz w:val="24"/>
          <w:szCs w:val="24"/>
        </w:rPr>
        <w:t xml:space="preserve">HORA:		De las 08:16 a las 09:25 horas</w:t>
      </w:r>
    </w:p>
    <w:p>
      <w:pPr>
        <w:spacing w:after="240" w:line="360"/>
        <w:jc w:val="both"/>
      </w:pPr>
      <w:r>
        <w:rPr>
          <w:rFonts w:ascii="Arial" w:cs="Arial" w:eastAsia="Arial" w:hAnsi="Arial"/>
          <w:sz w:val="24"/>
          <w:szCs w:val="24"/>
        </w:rPr>
        <w:t xml:space="preserve">LUGAR:	Recinto oficial de sesiones</w:t>
      </w:r>
    </w:p>
    <w:p>
      <w:pPr>
        <w:spacing w:after="240" w:line="360"/>
        <w:jc w:val="both"/>
      </w:pPr>
      <w:r>
        <w:rPr>
          <w:rFonts w:ascii="Arial" w:cs="Arial" w:eastAsia="Arial" w:hAnsi="Arial"/>
          <w:sz w:val="24"/>
          <w:szCs w:val="24"/>
        </w:rPr>
        <w:t xml:space="preserve">ASISTENTES:	Sebastián López Valencia</w:t>
      </w:r>
    </w:p>
    <w:p>
      <w:pPr>
        <w:spacing w:after="240" w:line="360"/>
        <w:jc w:val="both"/>
      </w:pPr>
      <w:r>
        <w:rPr>
          <w:rFonts w:ascii="Arial" w:cs="Arial" w:eastAsia="Arial" w:hAnsi="Arial"/>
          <w:sz w:val="24"/>
          <w:szCs w:val="24"/>
        </w:rPr>
        <w:t xml:space="preserve">Santiago Perdomo Montoya</w:t>
      </w:r>
    </w:p>
    <w:p>
      <w:pPr>
        <w:spacing w:after="240" w:line="360"/>
        <w:jc w:val="both"/>
      </w:pPr>
      <w:r>
        <w:rPr>
          <w:rFonts w:ascii="Arial" w:cs="Arial" w:eastAsia="Arial" w:hAnsi="Arial"/>
          <w:sz w:val="24"/>
          <w:szCs w:val="24"/>
        </w:rPr>
        <w:t xml:space="preserve">Carlos Alberto Gutiérrez Bustamante</w:t>
      </w:r>
    </w:p>
    <w:p>
      <w:pPr>
        <w:spacing w:after="240" w:line="360"/>
        <w:jc w:val="both"/>
      </w:pPr>
      <w:r>
        <w:rPr>
          <w:rFonts w:ascii="Arial" w:cs="Arial" w:eastAsia="Arial" w:hAnsi="Arial"/>
          <w:sz w:val="24"/>
          <w:szCs w:val="24"/>
        </w:rPr>
        <w:t xml:space="preserve">Andrés Felipe Tobón Villada</w:t>
      </w:r>
    </w:p>
    <w:p>
      <w:pPr>
        <w:spacing w:after="240" w:line="360"/>
        <w:jc w:val="both"/>
      </w:pPr>
      <w:r>
        <w:rPr>
          <w:rFonts w:ascii="Arial" w:cs="Arial" w:eastAsia="Arial" w:hAnsi="Arial"/>
          <w:sz w:val="24"/>
          <w:szCs w:val="24"/>
        </w:rPr>
        <w:t xml:space="preserve">Alejandro De Bedout Arango</w:t>
      </w:r>
    </w:p>
    <w:p>
      <w:pPr>
        <w:spacing w:after="240" w:line="360"/>
        <w:jc w:val="both"/>
      </w:pPr>
      <w:r>
        <w:rPr>
          <w:rFonts w:ascii="Arial" w:cs="Arial" w:eastAsia="Arial" w:hAnsi="Arial"/>
          <w:sz w:val="24"/>
          <w:szCs w:val="24"/>
        </w:rPr>
        <w:t xml:space="preserve">Juan Carlos de la Cuesta Galvis</w:t>
      </w:r>
    </w:p>
    <w:p>
      <w:pPr>
        <w:spacing w:after="240" w:line="360"/>
        <w:jc w:val="both"/>
      </w:pPr>
      <w:r>
        <w:rPr>
          <w:rFonts w:ascii="Arial" w:cs="Arial" w:eastAsia="Arial" w:hAnsi="Arial"/>
          <w:sz w:val="24"/>
          <w:szCs w:val="24"/>
        </w:rPr>
        <w:t xml:space="preserve">Santiago Narváez Lombana</w:t>
      </w:r>
    </w:p>
    <w:p>
      <w:pPr>
        <w:spacing w:after="240" w:line="360"/>
        <w:jc w:val="both"/>
      </w:pPr>
      <w:r>
        <w:rPr>
          <w:rFonts w:ascii="Arial" w:cs="Arial" w:eastAsia="Arial" w:hAnsi="Arial"/>
          <w:sz w:val="24"/>
          <w:szCs w:val="24"/>
        </w:rPr>
        <w:t xml:space="preserve">Damián Pérez Arroyave</w:t>
      </w:r>
    </w:p>
    <w:p>
      <w:pPr>
        <w:spacing w:after="240" w:line="360"/>
        <w:jc w:val="both"/>
      </w:pPr>
      <w:r>
        <w:rPr>
          <w:rFonts w:ascii="Arial" w:cs="Arial" w:eastAsia="Arial" w:hAnsi="Arial"/>
          <w:sz w:val="24"/>
          <w:szCs w:val="24"/>
        </w:rPr>
        <w:t xml:space="preserve">Camila Gaviria Barreneche</w:t>
      </w:r>
    </w:p>
    <w:p>
      <w:pPr>
        <w:spacing w:after="240" w:line="360"/>
        <w:jc w:val="both"/>
      </w:pPr>
      <w:r>
        <w:rPr>
          <w:rFonts w:ascii="Arial" w:cs="Arial" w:eastAsia="Arial" w:hAnsi="Arial"/>
          <w:sz w:val="24"/>
          <w:szCs w:val="24"/>
        </w:rPr>
        <w:t xml:space="preserve">Janeth Hurtado Betancur</w:t>
      </w:r>
    </w:p>
    <w:p>
      <w:pPr>
        <w:spacing w:after="240" w:line="360"/>
        <w:jc w:val="both"/>
      </w:pPr>
      <w:r>
        <w:rPr>
          <w:rFonts w:ascii="Arial" w:cs="Arial" w:eastAsia="Arial" w:hAnsi="Arial"/>
          <w:sz w:val="24"/>
          <w:szCs w:val="24"/>
        </w:rPr>
        <w:t xml:space="preserve">Farley Jhaír Macías Betancur</w:t>
      </w:r>
    </w:p>
    <w:p>
      <w:pPr>
        <w:spacing w:after="240" w:line="360"/>
        <w:jc w:val="both"/>
      </w:pPr>
      <w:r>
        <w:rPr>
          <w:rFonts w:ascii="Arial" w:cs="Arial" w:eastAsia="Arial" w:hAnsi="Arial"/>
          <w:sz w:val="24"/>
          <w:szCs w:val="24"/>
        </w:rPr>
        <w:t xml:space="preserve">José Luis Marín Mora</w:t>
      </w:r>
    </w:p>
    <w:p>
      <w:pPr>
        <w:spacing w:after="240" w:line="360"/>
        <w:jc w:val="both"/>
      </w:pPr>
      <w:r>
        <w:rPr>
          <w:rFonts w:ascii="Arial" w:cs="Arial" w:eastAsia="Arial" w:hAnsi="Arial"/>
          <w:sz w:val="24"/>
          <w:szCs w:val="24"/>
        </w:rPr>
        <w:t xml:space="preserve">Alejandro Arias García</w:t>
      </w:r>
    </w:p>
    <w:p>
      <w:pPr>
        <w:spacing w:after="240" w:line="360"/>
        <w:jc w:val="both"/>
      </w:pPr>
      <w:r>
        <w:rPr>
          <w:rFonts w:ascii="Arial" w:cs="Arial" w:eastAsia="Arial" w:hAnsi="Arial"/>
          <w:sz w:val="24"/>
          <w:szCs w:val="24"/>
        </w:rPr>
        <w:t xml:space="preserve">Miguel Ángel Iguarán Osorio</w:t>
      </w:r>
    </w:p>
    <w:p>
      <w:pPr>
        <w:spacing w:after="240" w:line="360"/>
        <w:jc w:val="both"/>
      </w:pPr>
      <w:r>
        <w:rPr>
          <w:rFonts w:ascii="Arial" w:cs="Arial" w:eastAsia="Arial" w:hAnsi="Arial"/>
          <w:sz w:val="24"/>
          <w:szCs w:val="24"/>
        </w:rPr>
        <w:t xml:space="preserve">Juan Ramón Jiménez Lara</w:t>
      </w:r>
    </w:p>
    <w:p>
      <w:pPr>
        <w:spacing w:after="240" w:line="360"/>
        <w:jc w:val="both"/>
      </w:pPr>
      <w:r>
        <w:rPr>
          <w:rFonts w:ascii="Arial" w:cs="Arial" w:eastAsia="Arial" w:hAnsi="Arial"/>
          <w:sz w:val="24"/>
          <w:szCs w:val="24"/>
        </w:rPr>
        <w:t xml:space="preserve">Brisvani Alexis Arenas Suaza</w:t>
      </w:r>
    </w:p>
    <w:p>
      <w:pPr>
        <w:spacing w:after="240" w:line="360"/>
        <w:jc w:val="both"/>
      </w:pPr>
      <w:r>
        <w:rPr>
          <w:rFonts w:ascii="Arial" w:cs="Arial" w:eastAsia="Arial" w:hAnsi="Arial"/>
          <w:sz w:val="24"/>
          <w:szCs w:val="24"/>
        </w:rPr>
        <w:t xml:space="preserve">Leticia Orrego Pérez</w:t>
      </w:r>
    </w:p>
    <w:p>
      <w:pPr>
        <w:spacing w:after="240" w:line="360"/>
        <w:jc w:val="both"/>
      </w:pPr>
      <w:r>
        <w:rPr>
          <w:rFonts w:ascii="Arial" w:cs="Arial" w:eastAsia="Arial" w:hAnsi="Arial"/>
          <w:sz w:val="24"/>
          <w:szCs w:val="24"/>
        </w:rPr>
        <w:t xml:space="preserve">Andrés Felipe Rodríguez Puerta</w:t>
      </w:r>
    </w:p>
    <w:p>
      <w:pPr>
        <w:spacing w:after="240" w:line="360"/>
        <w:jc w:val="both"/>
      </w:pPr>
      <w:r>
        <w:rPr>
          <w:rFonts w:ascii="Arial" w:cs="Arial" w:eastAsia="Arial" w:hAnsi="Arial"/>
          <w:sz w:val="24"/>
          <w:szCs w:val="24"/>
        </w:rPr>
        <w:t xml:space="preserve">Luis Guillermo de Jesús Vélez Álvarez</w:t>
      </w:r>
    </w:p>
    <w:p>
      <w:pPr>
        <w:spacing w:after="240" w:line="360"/>
        <w:jc w:val="both"/>
      </w:pPr>
      <w:r>
        <w:rPr>
          <w:rFonts w:ascii="Arial" w:cs="Arial" w:eastAsia="Arial" w:hAnsi="Arial"/>
          <w:sz w:val="24"/>
          <w:szCs w:val="24"/>
        </w:rPr>
        <w:t xml:space="preserve">AUSENTES:		María Paulina Suárez Roldán, concejala</w:t>
      </w:r>
    </w:p>
    <w:p>
      <w:pPr>
        <w:spacing w:after="240" w:line="360"/>
        <w:jc w:val="both"/>
      </w:pPr>
      <w:r>
        <w:rPr>
          <w:rFonts w:ascii="Arial" w:cs="Arial" w:eastAsia="Arial" w:hAnsi="Arial"/>
          <w:sz w:val="24"/>
          <w:szCs w:val="24"/>
        </w:rPr>
        <w:t xml:space="preserve">Ausencia no justificada</w:t>
      </w:r>
    </w:p>
    <w:p>
      <w:pPr>
        <w:spacing w:after="240" w:line="360"/>
        <w:jc w:val="both"/>
      </w:pPr>
      <w:r>
        <w:rPr>
          <w:rFonts w:ascii="Arial" w:cs="Arial" w:eastAsia="Arial" w:hAnsi="Arial"/>
          <w:sz w:val="24"/>
          <w:szCs w:val="24"/>
        </w:rPr>
        <w:t xml:space="preserve">Claudia Victoria Carrasquilla Minami</w:t>
      </w:r>
    </w:p>
    <w:p>
      <w:pPr>
        <w:spacing w:after="240" w:line="360"/>
        <w:jc w:val="both"/>
      </w:pPr>
      <w:r>
        <w:rPr>
          <w:rFonts w:ascii="Arial" w:cs="Arial" w:eastAsia="Arial" w:hAnsi="Arial"/>
          <w:sz w:val="24"/>
          <w:szCs w:val="24"/>
        </w:rPr>
        <w:t xml:space="preserve">Ausencia justificada El secretario General informó que se contaba con cuórum suficiente para deliberar y decidirSiendo las 08:17 horas el presidente declaró abierta la sesiónORDEN DEL DÍA:1.	Aprobación del orden del día</w:t>
      </w:r>
    </w:p>
    <w:p>
      <w:pPr>
        <w:spacing w:after="240" w:line="360"/>
        <w:jc w:val="both"/>
      </w:pPr>
      <w:r>
        <w:rPr>
          <w:rFonts w:ascii="Arial" w:cs="Arial" w:eastAsia="Arial" w:hAnsi="Arial"/>
          <w:sz w:val="24"/>
          <w:szCs w:val="24"/>
        </w:rPr>
        <w:t xml:space="preserve">2.	Invitación a funcionarios</w:t>
      </w:r>
    </w:p>
    <w:p>
      <w:pPr>
        <w:spacing w:after="240" w:line="360"/>
        <w:jc w:val="both"/>
      </w:pPr>
      <w:r>
        <w:rPr>
          <w:rFonts w:ascii="Arial" w:cs="Arial" w:eastAsia="Arial" w:hAnsi="Arial"/>
          <w:sz w:val="24"/>
          <w:szCs w:val="24"/>
        </w:rPr>
        <w:t xml:space="preserve">3.	Lectura de comunicaciones</w:t>
      </w:r>
    </w:p>
    <w:p>
      <w:pPr>
        <w:spacing w:after="240" w:line="360"/>
        <w:jc w:val="both"/>
      </w:pPr>
      <w:r>
        <w:rPr>
          <w:rFonts w:ascii="Arial" w:cs="Arial" w:eastAsia="Arial" w:hAnsi="Arial"/>
          <w:sz w:val="24"/>
          <w:szCs w:val="24"/>
        </w:rPr>
        <w:t xml:space="preserve">4.	Proposiciones</w:t>
      </w:r>
    </w:p>
    <w:p>
      <w:pPr>
        <w:spacing w:after="240" w:line="360"/>
        <w:jc w:val="both"/>
      </w:pPr>
      <w:r>
        <w:rPr>
          <w:rFonts w:ascii="Arial" w:cs="Arial" w:eastAsia="Arial" w:hAnsi="Arial"/>
          <w:sz w:val="24"/>
          <w:szCs w:val="24"/>
        </w:rPr>
        <w:t xml:space="preserve">5.	Asuntos varios</w:t>
      </w:r>
    </w:p>
    <w:p>
      <w:pPr>
        <w:spacing w:after="240" w:line="360"/>
        <w:jc w:val="both"/>
      </w:pPr>
      <w:r>
        <w:rPr>
          <w:rFonts w:ascii="Arial" w:cs="Arial" w:eastAsia="Arial" w:hAnsi="Arial"/>
          <w:sz w:val="24"/>
          <w:szCs w:val="24"/>
        </w:rPr>
        <w:t xml:space="preserve">DESARROLLO:</w:t>
      </w:r>
    </w:p>
    <w:p>
      <w:pPr>
        <w:spacing w:after="240" w:line="360"/>
        <w:jc w:val="both"/>
      </w:pPr>
      <w:r>
        <w:rPr>
          <w:rFonts w:ascii="Arial" w:cs="Arial" w:eastAsia="Arial" w:hAnsi="Arial"/>
          <w:sz w:val="24"/>
          <w:szCs w:val="24"/>
        </w:rPr>
        <w:t xml:space="preserve">1.	Aprobación del orden del día</w:t>
      </w:r>
    </w:p>
    <w:p>
      <w:pPr>
        <w:spacing w:after="240" w:line="360"/>
        <w:jc w:val="both"/>
      </w:pPr>
      <w:r>
        <w:rPr>
          <w:rFonts w:ascii="Arial" w:cs="Arial" w:eastAsia="Arial" w:hAnsi="Arial"/>
          <w:sz w:val="24"/>
          <w:szCs w:val="24"/>
        </w:rPr>
        <w:t xml:space="preserve">Se dio lectura al orden del día. Se sometió a consideración en votación ordinaria para los concejales presentes en el recinto y nominal para la concejala Janeth Hurtado Betancur en licencia de maternidad. No se presentaron intervenciones. Fue aprobado.</w:t>
      </w:r>
    </w:p>
    <w:p>
      <w:pPr>
        <w:spacing w:after="240" w:line="360"/>
        <w:jc w:val="both"/>
      </w:pPr>
      <w:r>
        <w:rPr>
          <w:rFonts w:ascii="Arial" w:cs="Arial" w:eastAsia="Arial" w:hAnsi="Arial"/>
          <w:sz w:val="24"/>
          <w:szCs w:val="24"/>
        </w:rPr>
        <w:t xml:space="preserve">2.	Invitación a funcionarios</w:t>
      </w:r>
    </w:p>
    <w:p>
      <w:pPr>
        <w:spacing w:after="240" w:line="360"/>
        <w:jc w:val="both"/>
      </w:pPr>
      <w:r>
        <w:rPr>
          <w:rFonts w:ascii="Arial" w:cs="Arial" w:eastAsia="Arial" w:hAnsi="Arial"/>
          <w:sz w:val="24"/>
          <w:szCs w:val="24"/>
        </w:rPr>
        <w:t xml:space="preserve">«Seguimiento a los proyectos de inversión del Sistema General de Participaciones»</w:t>
      </w:r>
    </w:p>
    <w:p>
      <w:pPr>
        <w:spacing w:after="240" w:line="360"/>
        <w:jc w:val="both"/>
      </w:pPr>
      <w:r>
        <w:rPr>
          <w:rFonts w:ascii="Arial" w:cs="Arial" w:eastAsia="Arial" w:hAnsi="Arial"/>
          <w:sz w:val="24"/>
          <w:szCs w:val="24"/>
        </w:rPr>
        <w:t xml:space="preserve">Esta sesión se realiza para dar cumplimiento al artículo 1 del Acto Legislativo 03 de 2024, “por medio del cual se fortalece la autonomía de los departamentos, distritos y municipios, se modifica el artículo 356 y 357 de la Constitución Política y se dictan otras disposiciones”. En esta se indica que el Concejo Distrital debe hacerle seguimiento a los proyectos de inversión del Sistema General de Participaciones - SGP.</w:t>
      </w:r>
    </w:p>
    <w:p>
      <w:pPr>
        <w:spacing w:after="240" w:line="360"/>
        <w:jc w:val="both"/>
      </w:pPr>
      <w:r>
        <w:rPr>
          <w:rFonts w:ascii="Arial" w:cs="Arial" w:eastAsia="Arial" w:hAnsi="Arial"/>
          <w:sz w:val="24"/>
          <w:szCs w:val="24"/>
        </w:rPr>
        <w:t xml:space="preserve">Tenemos a las siguientes entidades invitadas:Secretario de Hacienda (e),  Francisco Javier Hernández. Secretaria de Inclusión Social y Familia, Luz María Ramírez Correa. Director Técnico de la secretaría de Cultura Ciudadana, Jesús David Vélez Cardona. Directora Técnica Unidad Administrativa Especial Buen Comienzo, Laura Victoria Gómez.Secretaría de Educación, Anderson García.Líder del programa de la secretaría de Desarrollo Económico, Óscar Esaú.Subsecretario Administrativo y Financiero de la secretaría de Salud, Alejandro Posada.Enlace presupuestal de la secretaría de Movilidad, Jaime Alonso Castro.Subsecretaria de Servicios Públicos de la secretaría de Gestión y Control Territorial, Manuela García Gil.Inder – Instituto de Deportes y Recreación de Medellín	Secretaría de Innovación digital. Secretaría de Paz y Derechos Humanos. Intervino el presidente Sebastián López Valencia:</w:t>
      </w:r>
    </w:p>
    <w:p>
      <w:pPr>
        <w:spacing w:after="240" w:line="300"/>
        <w:ind w:left="720" w:right="720"/>
        <w:jc w:val="both"/>
      </w:pPr>
      <w:r>
        <w:rPr>
          <w:rFonts w:ascii="Arial" w:cs="Arial" w:eastAsia="Arial" w:hAnsi="Arial"/>
          <w:sz w:val="22"/>
          <w:szCs w:val="22"/>
        </w:rPr>
        <w:t xml:space="preserve">“Hemos invitado a las dependencias que tienen asignados recursos del SGP para que expongan a la plenaria cuáles son los recursos asignados y cuál ha sido el impacto de los programas y proyectos durante 2024 - 2025. Aquí ya me pasaron la lista de cómo van a intervenir. Yo les voy a ir dando la palabra de acuerdo a lo que ustedes acá me informaron”.</w:t>
      </w:r>
    </w:p>
    <w:p>
      <w:pPr>
        <w:spacing w:before="400" w:after="200" w:line="360"/>
        <w:jc w:val="left"/>
      </w:pPr>
      <w:r>
        <w:rPr>
          <w:rFonts w:ascii="Arial" w:cs="Arial" w:eastAsia="Arial" w:hAnsi="Arial"/>
          <w:b/>
          <w:bCs/>
          <w:sz w:val="24"/>
          <w:szCs w:val="24"/>
        </w:rPr>
        <w:t xml:space="preserve">Intervino el secretario de Hacienda (e), Francisco Javier Hernández:</w:t>
      </w:r>
    </w:p>
    <w:p>
      <w:pPr>
        <w:spacing w:after="240" w:line="300"/>
        <w:ind w:left="720" w:right="720"/>
        <w:jc w:val="both"/>
      </w:pPr>
      <w:r>
        <w:rPr>
          <w:rFonts w:ascii="Arial" w:cs="Arial" w:eastAsia="Arial" w:hAnsi="Arial"/>
          <w:sz w:val="22"/>
          <w:szCs w:val="22"/>
        </w:rPr>
        <w:t xml:space="preserve">“La Administración distrital viene hoy a este espacio no solo a dar cumplimiento de ley, sino también a rendir cada uno de los proyectos de inversión y los recursos que el SGP ha tenido para el Distrito durante 2024 y al corte de octubre de 2025.</w:t>
      </w:r>
    </w:p>
    <w:p>
      <w:pPr>
        <w:spacing w:after="240" w:line="360"/>
        <w:jc w:val="both"/>
      </w:pPr>
      <w:r>
        <w:rPr>
          <w:rFonts w:ascii="Arial" w:cs="Arial" w:eastAsia="Arial" w:hAnsi="Arial"/>
          <w:sz w:val="24"/>
          <w:szCs w:val="24"/>
        </w:rPr>
        <w:t xml:space="preserve">Les vamos a exponer qué recursos desde el presupuesto de ingresos hemos recibido y luego cada ordenador del gasto les explicará cómo ha sido su destinación en los proyectos de inversión y su cumplimiento en el plan de desarrollo.</w:t>
      </w:r>
    </w:p>
    <w:p>
      <w:pPr>
        <w:spacing w:after="240" w:line="360"/>
        <w:jc w:val="both"/>
      </w:pPr>
      <w:r>
        <w:rPr>
          <w:rFonts w:ascii="Arial" w:cs="Arial" w:eastAsia="Arial" w:hAnsi="Arial"/>
          <w:sz w:val="24"/>
          <w:szCs w:val="24"/>
        </w:rPr>
        <w:t xml:space="preserve">Lo primero es decir que el Sistema General de Participaciones es el mecanismo por medio del cual se distribuyen los recursos a los departamentos, distritos y municipios y que sirven para garantizar servicios esenciales del Estado en el territorio. Esto dando cumplimiento al artículo 356 que regula el SGP y 357 que define cómo se reparten los recursos según la población y las necesidades.</w:t>
      </w:r>
    </w:p>
    <w:p>
      <w:pPr>
        <w:spacing w:after="240" w:line="360"/>
        <w:jc w:val="both"/>
      </w:pPr>
      <w:r>
        <w:rPr>
          <w:rFonts w:ascii="Arial" w:cs="Arial" w:eastAsia="Arial" w:hAnsi="Arial"/>
          <w:sz w:val="24"/>
          <w:szCs w:val="24"/>
        </w:rPr>
        <w:t xml:space="preserve">¿Qué tipo de recursos hemos recibido como Distrito durante la vigencia 2024 y 2025? Hemos recibido recursos para financiar servicios esenciales en educación,</w:t>
      </w:r>
    </w:p>
    <w:p>
      <w:pPr>
        <w:spacing w:after="240" w:line="360"/>
        <w:jc w:val="both"/>
      </w:pPr>
      <w:r>
        <w:rPr>
          <w:rFonts w:ascii="Arial" w:cs="Arial" w:eastAsia="Arial" w:hAnsi="Arial"/>
          <w:sz w:val="24"/>
          <w:szCs w:val="24"/>
        </w:rPr>
        <w:t xml:space="preserve">salud, agua potable y saneamiento básico y en propósito general destinados a cultura, deporte y fortalecimiento institucional.</w:t>
      </w:r>
    </w:p>
    <w:p>
      <w:pPr>
        <w:spacing w:after="240" w:line="360"/>
        <w:jc w:val="both"/>
      </w:pPr>
      <w:r>
        <w:rPr>
          <w:rFonts w:ascii="Arial" w:cs="Arial" w:eastAsia="Arial" w:hAnsi="Arial"/>
          <w:sz w:val="24"/>
          <w:szCs w:val="24"/>
        </w:rPr>
        <w:t xml:space="preserve">¿Cuáles son los criterios que se usan desde el Departamento Nacional de Planeación para esta distribución de recursos? En educación se tienen en cuenta variables como:Población atendida y por atenderCobertura y matrícula oficialDesempeño y eficiencia en el uso de los recursos. Para salud:Población afiliada al régimen subsidiado.Necesidades básicas insatisfechas en el territorio.Indicadores de equidad y eficiencia.Agua potable y saneamiento básico:Déficit en coberturas de acueducto y alcantarillado.Población urbana y rural beneficiada.Esfuerzo fiscal y la eficiencia en la gestión. Y dentro del grupo de propósito general:Población total del territorio.Necesidades básicas insatisfechas y dispersión geográfica.Equidad en territorios y eficiencia administrativa.Por dependencias:</w:t>
      </w:r>
    </w:p>
    <w:p>
      <w:pPr>
        <w:spacing w:after="240" w:line="360"/>
        <w:jc w:val="both"/>
      </w:pPr>
      <w:r>
        <w:rPr>
          <w:rFonts w:ascii="Arial" w:cs="Arial" w:eastAsia="Arial" w:hAnsi="Arial"/>
          <w:sz w:val="24"/>
          <w:szCs w:val="24"/>
        </w:rPr>
        <w:t xml:space="preserve">Debemos decir que el SGP en educación hemos recibido para el sector de prestación de servicios el presupuesto definitivo a octubre es de $ 1 billón 466 370, mientras que para el presupuesto inicial de 2026 estamos arrancando con documentos técnicos donde nos indican que el caso inicial del documento para ese sector es de $ 1 billón 380 095 millones. Es decir, a través de la vigencia vamos recibiendo unos documentos técnicos que ajustan el valor de los recursos asignados a SGP. Por eso el próximo año arrancamos con un valor inferior al que el corte de octubre de este año tenemos.</w:t>
      </w:r>
    </w:p>
    <w:p>
      <w:pPr>
        <w:spacing w:after="240" w:line="360"/>
        <w:jc w:val="both"/>
      </w:pPr>
      <w:r>
        <w:rPr>
          <w:rFonts w:ascii="Arial" w:cs="Arial" w:eastAsia="Arial" w:hAnsi="Arial"/>
          <w:sz w:val="24"/>
          <w:szCs w:val="24"/>
        </w:rPr>
        <w:t xml:space="preserve">Para el sector de calidad en la educación tenemos un cierre a octubre de $ 23 485 millones y un presupuesto proyectado para el 2026 de $ 20 872. Calidad por gratuidad $ 37 548 al corte de 2025 y en el 2026 proyectado $ 26 289. Lo que en el sector de educación hemos recibido $ 1 billón 520 403 millones y tenemos proyectado $ 1 billón 427 256.</w:t>
      </w:r>
    </w:p>
    <w:p>
      <w:pPr>
        <w:spacing w:after="240" w:line="360"/>
        <w:jc w:val="both"/>
      </w:pPr>
      <w:r>
        <w:rPr>
          <w:rFonts w:ascii="Arial" w:cs="Arial" w:eastAsia="Arial" w:hAnsi="Arial"/>
          <w:sz w:val="24"/>
          <w:szCs w:val="24"/>
        </w:rPr>
        <w:t xml:space="preserve">Para salud son dos subsectores: régimen subsidiado y salud pública. A corte de octubre de 2025, tenemos un total recibido por $ 566 317 millones, con $ 534 000 para el primer subsector de régimen subsidiado y $ 31 762 millones para salud pública.</w:t>
      </w:r>
    </w:p>
    <w:p>
      <w:pPr>
        <w:spacing w:after="240" w:line="360"/>
        <w:jc w:val="both"/>
      </w:pPr>
      <w:r>
        <w:rPr>
          <w:rFonts w:ascii="Arial" w:cs="Arial" w:eastAsia="Arial" w:hAnsi="Arial"/>
          <w:sz w:val="24"/>
          <w:szCs w:val="24"/>
        </w:rPr>
        <w:t xml:space="preserve">¿Qué tenemos proyectado para 2026? Arrancar con $ 535 708 millones en régimen subsidiado y en salud pública $ 28 473 para un total de $ 564 000 millones.</w:t>
      </w:r>
    </w:p>
    <w:p>
      <w:pPr>
        <w:spacing w:after="240" w:line="360"/>
        <w:jc w:val="both"/>
      </w:pPr>
      <w:r>
        <w:rPr>
          <w:rFonts w:ascii="Arial" w:cs="Arial" w:eastAsia="Arial" w:hAnsi="Arial"/>
          <w:sz w:val="24"/>
          <w:szCs w:val="24"/>
        </w:rPr>
        <w:t xml:space="preserve">Propósito general:</w:t>
      </w:r>
    </w:p>
    <w:p>
      <w:pPr>
        <w:spacing w:after="240" w:line="360"/>
        <w:jc w:val="both"/>
      </w:pPr>
      <w:r>
        <w:rPr>
          <w:rFonts w:ascii="Arial" w:cs="Arial" w:eastAsia="Arial" w:hAnsi="Arial"/>
          <w:sz w:val="24"/>
          <w:szCs w:val="24"/>
        </w:rPr>
        <w:t xml:space="preserve">Los recursos los distribuimos en deporte, cultura. Tenemos para libre inversión en Inclusión Social y Buen Comienzo durante  2025 a octubre recibimos $ 136 476 millones y tenemos proyectados $ 116 554 millones. Otros proyectos que han recibido en SGP han sido:</w:t>
      </w:r>
    </w:p>
    <w:p>
      <w:pPr>
        <w:spacing w:after="240" w:line="360"/>
        <w:jc w:val="both"/>
      </w:pPr>
      <w:r>
        <w:rPr>
          <w:rFonts w:ascii="Arial" w:cs="Arial" w:eastAsia="Arial" w:hAnsi="Arial"/>
          <w:sz w:val="24"/>
          <w:szCs w:val="24"/>
        </w:rPr>
        <w:t xml:space="preserve">Gestión y Control Territorial para agua potable $ 45 000 millones.</w:t>
      </w:r>
    </w:p>
    <w:p>
      <w:pPr>
        <w:spacing w:after="240" w:line="360"/>
        <w:jc w:val="both"/>
      </w:pPr>
      <w:r>
        <w:rPr>
          <w:rFonts w:ascii="Arial" w:cs="Arial" w:eastAsia="Arial" w:hAnsi="Arial"/>
          <w:sz w:val="24"/>
          <w:szCs w:val="24"/>
        </w:rPr>
        <w:t xml:space="preserve">Inclusión  Social por alimentación escolar, $ 6000 millones y tenemos proyectados $ 34 000 y $ 5000 respectivamente para un total en 2026 de $ 40 751.</w:t>
      </w:r>
    </w:p>
    <w:p>
      <w:pPr>
        <w:spacing w:after="240" w:line="360"/>
        <w:jc w:val="both"/>
      </w:pPr>
      <w:r>
        <w:rPr>
          <w:rFonts w:ascii="Arial" w:cs="Arial" w:eastAsia="Arial" w:hAnsi="Arial"/>
          <w:sz w:val="24"/>
          <w:szCs w:val="24"/>
        </w:rPr>
        <w:t xml:space="preserve">En términos generales, la ejecución que ha tenido cada secretaría, como podemos ver en el 2024, la mayoría de los recursos de SGP se ejecutan, a corte de 2025 algunos ya están ejecutados al 100 %, otros tienen una ejecución, digamos normal de acuerdo a la estacionalidad que tenemos en el año. Esto nos permite garantizar que estos recursos tienen la cobertura y la destinación que la ley les asigna.</w:t>
      </w:r>
    </w:p>
    <w:p>
      <w:pPr>
        <w:spacing w:after="100"/>
      </w:pPr>
    </w:p>
    <w:p>
      <w:pPr>
        <w:spacing w:before="200" w:after="200"/>
        <w:jc w:val="center"/>
      </w:pPr>
      <w:r>
        <w:drawing>
          <wp:inline distT="0" distB="0" distL="0" distR="0">
            <wp:extent cx="4286250" cy="247879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4286250" cy="247879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¿Qué seguimiento hacemos? Como secretaría de Hacienda tenemos un seguimiento técnico a los documentos de distribución para saber qué reducciones o qué incrementos se hacen en los sectores y así poderlo asignar a cada una de las dependencias de acuerdo a su destinación específica y las necesidades que cada ordenador del gasto plantee en los sectores que la ley le trae.</w:t>
      </w:r>
    </w:p>
    <w:p>
      <w:pPr>
        <w:spacing w:after="240" w:line="360"/>
        <w:jc w:val="both"/>
      </w:pPr>
      <w:r>
        <w:rPr>
          <w:rFonts w:ascii="Arial" w:cs="Arial" w:eastAsia="Arial" w:hAnsi="Arial"/>
          <w:sz w:val="24"/>
          <w:szCs w:val="24"/>
        </w:rPr>
        <w:t xml:space="preserve">A su vez, los ordenadores del gasto son quienes deciden cómo se debe comprometer cada recurso. Por eso traemos acá las dependencias para que expongan cómo ha sido su ejecución”.</w:t>
      </w:r>
    </w:p>
    <w:p>
      <w:pPr>
        <w:spacing w:before="400" w:after="200" w:line="360"/>
        <w:jc w:val="left"/>
      </w:pPr>
      <w:r>
        <w:rPr>
          <w:rFonts w:ascii="Arial" w:cs="Arial" w:eastAsia="Arial" w:hAnsi="Arial"/>
          <w:b/>
          <w:bCs/>
          <w:sz w:val="24"/>
          <w:szCs w:val="24"/>
        </w:rPr>
        <w:t xml:space="preserve">Intervino la secretaria de Inclusión Social y Familia, Luz María Ramírez Correa</w:t>
      </w:r>
    </w:p>
    <w:p>
      <w:pPr>
        <w:spacing w:after="240" w:line="300"/>
        <w:ind w:left="720" w:right="720"/>
        <w:jc w:val="both"/>
      </w:pPr>
      <w:r>
        <w:rPr>
          <w:rFonts w:ascii="Arial" w:cs="Arial" w:eastAsia="Arial" w:hAnsi="Arial"/>
          <w:sz w:val="22"/>
          <w:szCs w:val="22"/>
        </w:rPr>
        <w:t xml:space="preserve">“Teniendo en cuenta lo que nos dice el secretario de Hacienda encargado, tenemos para la secretaría para 2024 un total de recursos de SGP asignados de $ 106 270 millones y para 2025,  $ 133 591 935 589, los cuales se dividen en SGP propósito general y SGP alimentación escolar y se utilizan en los proyectos del Programa de Alimentación Escolar - PAE, para la atención de personas con discapacidad, para la asistencia alimentaria a población vulnerable y para la atención a niños, niños y adolescentes en condiciones de vulnerabilidad, que es el proyecto de atención también de la Unidad de Niñez.</w:t>
      </w:r>
    </w:p>
    <w:p>
      <w:pPr>
        <w:spacing w:after="240" w:line="360"/>
        <w:jc w:val="both"/>
      </w:pPr>
      <w:r>
        <w:rPr>
          <w:rFonts w:ascii="Arial" w:cs="Arial" w:eastAsia="Arial" w:hAnsi="Arial"/>
          <w:sz w:val="24"/>
          <w:szCs w:val="24"/>
        </w:rPr>
        <w:t xml:space="preserve">Entonces, esto es lo que tenemos hoy:</w:t>
      </w:r>
    </w:p>
    <w:p>
      <w:pPr>
        <w:spacing w:after="100"/>
      </w:pPr>
    </w:p>
    <w:p>
      <w:pPr>
        <w:spacing w:before="200" w:after="200"/>
        <w:jc w:val="center"/>
      </w:pPr>
      <w:r>
        <w:drawing>
          <wp:inline distT="0" distB="0" distL="0" distR="0">
            <wp:extent cx="4286250" cy="2403911"/>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4286250" cy="2403911"/>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Principales logros obtenidos con dichos recursos en los proyectos para las vigencias 2024 y 2025 son los siguientes:En cuanto al PAE, entre 2024 y 2027 vamos a beneficiar a 268 000 escolares, lo que representa un aumento de cobertura del 74 % al 89 % respecto a la matrícula oficial que es alrededor de 300 000 escolares, consolidando el PAE como una estrategia para disminuir las condiciones de inseguridad alimentaria y para favorecer la permanencia educativa en las instituciones del Distrito. Beneficiamos hoy a 244 232 escolares de las instituciones educativas oficiales del Distrito con una atención diaria e ininterrumpida. Ampliamos anualmente 12 000 nuevos cupos, este año 244 000, el próximo 256 000.Hemos generado 1600 empleos directos en la cadena de producción y distribución de los alimentos. En cuanto a los logros de la asistencia alimentaria a población vulnerable tenemos:En 2024 beneficiamos a 18 053 familias con paquete alimentario y garantizando acceso y alimentos a más de 30 000 hogares vulnerables con una inversión superior a los $ 21 000 millones, que corresponden a 2025. En 2024 capacitamos a 14 672 hogares en la adopción de hábitos alimentarios saludables y sostenibles y en 2025 hemos capacitado a 22 337 personas. En cuanto a la atención de la población de niñas, niños y adolescentes:En 2024 soportamos el restablecimiento derechos de 6515 niñas, niños y adolescentes y en el 2025, con corte octubre, 5624. Brindamos atención oportuna a niños, niñas y adolescentes en situaciones de riesgo o vulneración, mientras la autoridad administrativa define la medida de protección para ellos. Realizamos planes de intervención individual con enfoque diferencial a partir de la valoración psicosocial y el diagnóstico que hacen los diferentes equipos de la Unidad de Niñez. Realizamos atención psicoterapéutica bajo la metodología de Jugar para Sanar a 420 niñas, niñas y adolescentes víctimas de violencias sexuales junto con sus familias o  cuidadores. Esto en 2024 y en 2025 llevamos atendidos con corte a octubre a 432.Unidad de Discapacidad:En 2024 atendimos 1540 personas con discapacidad y personas cuidadoras a través de procesos de habilitación, rehabilitación, acompañamiento, equiparación de oportunidades y en 2025 hemos atendido 597 personas. En 2024 brindamos atención a 4625 personas y en 2025 a 4562 personas con discapacidad, personas cuidadoras, con acciones de identificación, orientación, seguimiento a las diferentes rutas de atención para garantizar el acceso a los servicios de ciudad y valoración de apoyos. 1340 personas han participado en asistencias técnicas a través de las diferentes instancias de participación.Intervino el director Técnico de la secretaría de Cultura, Jesús David Vélez:</w:t>
      </w:r>
    </w:p>
    <w:p>
      <w:pPr>
        <w:spacing w:after="240" w:line="300"/>
        <w:ind w:left="720" w:right="720"/>
        <w:jc w:val="both"/>
      </w:pPr>
      <w:r>
        <w:rPr>
          <w:rFonts w:ascii="Arial" w:cs="Arial" w:eastAsia="Arial" w:hAnsi="Arial"/>
          <w:sz w:val="22"/>
          <w:szCs w:val="22"/>
        </w:rPr>
        <w:t xml:space="preserve">“Desde la secretaría de Cultura Ciudadana, de acuerdo a los recursos SGP asignados para la vigencia 2024 tuvimos una ejecución de $ 7838 millones, para 2025 de $ 9171 millones. se reporta el 2023, un recurso que se carga a la secretaría por una ejecución.</w:t>
      </w:r>
    </w:p>
    <w:p>
      <w:pPr>
        <w:spacing w:after="240" w:line="360"/>
        <w:jc w:val="both"/>
      </w:pPr>
      <w:r>
        <w:rPr>
          <w:rFonts w:ascii="Arial" w:cs="Arial" w:eastAsia="Arial" w:hAnsi="Arial"/>
          <w:sz w:val="24"/>
          <w:szCs w:val="24"/>
        </w:rPr>
        <w:t xml:space="preserve">La asignación se da básicamente en dos proyectos de inversión:Fortalecimiento de los servicios bibliotecarios, que es desde donde se atiende todo el Sistema de Bibliotecas Públicas de Medellín.Desarrollo de la red de prácticas artísticas y culturales, donde se atienden desde música, danza, teatro, artes plásticas y visuales para toda la ciudad.Los logros que tenemos proyectados del fortalecimiento de los servicios bibliotecarios:</w:t>
      </w:r>
    </w:p>
    <w:p>
      <w:pPr>
        <w:spacing w:after="240" w:line="360"/>
        <w:jc w:val="both"/>
      </w:pPr>
      <w:r>
        <w:rPr>
          <w:rFonts w:ascii="Arial" w:cs="Arial" w:eastAsia="Arial" w:hAnsi="Arial"/>
          <w:sz w:val="24"/>
          <w:szCs w:val="24"/>
        </w:rPr>
        <w:t xml:space="preserve">Durante la vigencia 2024 y 2025 se beneficiaron en total $ 4 430 000 usuarios de los diferentes programas y servicios en las unidades de información. El municipio en este momento tiene 28 unidades donde se desarrollan todos los servicios bibliotecarios, se generan estrategias de promoción de la lectura, la escritura y la oralidad.</w:t>
      </w:r>
    </w:p>
    <w:p>
      <w:pPr>
        <w:spacing w:after="240" w:line="360"/>
        <w:jc w:val="both"/>
      </w:pPr>
      <w:r>
        <w:rPr>
          <w:rFonts w:ascii="Arial" w:cs="Arial" w:eastAsia="Arial" w:hAnsi="Arial"/>
          <w:sz w:val="24"/>
          <w:szCs w:val="24"/>
        </w:rPr>
        <w:t xml:space="preserve">En estas vigencias en unos servicios básicos bibliotecarios que presta, se encuentran amparados en la Ley 1493, hemos tenido:Material bibliográfico prestado: 600 000 Consulta y referencia: 348 000Acceso a las TIC´s, que es donde se encuentra todo lo que es capacitación a adultos mayores, niños, niñas y adolescentes: 488 000Préstamos de espacios 670 000 usuarios. Exposiciones: 345Préstamos digitales: 39 000Actividades de MakerSpace que están relacionados con la cuarta revolución industrial: 1835.Actividades totales: 53 316.El Sistema de Bibliotecas Públicas de Medellín es muy importante para la ciudad, toda vez que la apertura se realiza en los primeros días del mes de enero y funcionamos hasta finales de diciembre. Son espacios que funcionan los fines de semana y que todo ciudadano puede habitar en cualquier momento y que tiene estrategias que ayudan a promocionar diferentes elementos para la vida. Tenemos talleres para niños desde los cero a los cinco años como Pasitos Lectores, talleres de formación, de escritura y demás, que es muy importante para la ciudad.</w:t>
      </w:r>
    </w:p>
    <w:p>
      <w:pPr>
        <w:spacing w:after="240" w:line="360"/>
        <w:jc w:val="both"/>
      </w:pPr>
      <w:r>
        <w:rPr>
          <w:rFonts w:ascii="Arial" w:cs="Arial" w:eastAsia="Arial" w:hAnsi="Arial"/>
          <w:sz w:val="24"/>
          <w:szCs w:val="24"/>
        </w:rPr>
        <w:t xml:space="preserve">Y además tenemos otras estrategias de acompañamiento territorial como lo es  arte para la libertad, tenemos talleres que van directamente a centros carcelarios para de una u otra manera promover la lectura, la escritura y la oralidad en estos espacios.</w:t>
      </w:r>
    </w:p>
    <w:p>
      <w:pPr>
        <w:spacing w:after="240" w:line="360"/>
        <w:jc w:val="both"/>
      </w:pPr>
      <w:r>
        <w:rPr>
          <w:rFonts w:ascii="Arial" w:cs="Arial" w:eastAsia="Arial" w:hAnsi="Arial"/>
          <w:sz w:val="24"/>
          <w:szCs w:val="24"/>
        </w:rPr>
        <w:t xml:space="preserve">Tenemos actividades como Abuelos Cuentacuentos, que son adultos que de forma voluntaria le dan otro significado también a su vida, acompañando diferentes espacios a través de la promoción de la lectura, de la escritura y la oralidad.</w:t>
      </w:r>
    </w:p>
    <w:p>
      <w:pPr>
        <w:spacing w:after="240" w:line="360"/>
        <w:jc w:val="both"/>
      </w:pPr>
      <w:r>
        <w:rPr>
          <w:rFonts w:ascii="Arial" w:cs="Arial" w:eastAsia="Arial" w:hAnsi="Arial"/>
          <w:sz w:val="24"/>
          <w:szCs w:val="24"/>
        </w:rPr>
        <w:t xml:space="preserve">En el proyecto del desarrollo de la Red de Prácticas Artísticas y Culturales, para estas dos vigencias tenemos de acuerdo a los logros, actividades de dos de las principales redes que se atendieron con estos recursos. La más importante de todas es la Red de Música. Tenemos:28 escuelas de música en 16 comunas y tres corregimientos. Más de 8200 participantes en cada uno de los años en los que se presta este servicio. Los mayores beneficiarios de la Red de Música y de las Escuelas de Música son de los estratos 2 y 3, llegando a ser alrededor de 5659 personas. 432 participantes que se encuentran inscritas tienen alguna condición de discapacidad y también tenemos dentro de la Red un programa de trabajo con personas neurodiversas. Y dentro de las otras redes que son artes plásticas y visuales, hemos trabajado todo lo que tiene que ver con la creación en dibujo, pintura, temas escultóricos, y ya más desde la red de lo audiovisual, trabajos desde lo experimental, la ficción, lo documental y videoclip. Dentro de la Red de Música y las actividades que desarrollamos, tenemos iniciación musical, intermedio y avanzado. Asimismo, estos logros son muy importantes toda vez que la Red cumple 30 años en 2026”.</w:t>
      </w:r>
    </w:p>
    <w:p>
      <w:pPr>
        <w:spacing w:before="400" w:after="200" w:line="360"/>
        <w:jc w:val="left"/>
      </w:pPr>
      <w:r>
        <w:rPr>
          <w:rFonts w:ascii="Arial" w:cs="Arial" w:eastAsia="Arial" w:hAnsi="Arial"/>
          <w:b/>
          <w:bCs/>
          <w:sz w:val="24"/>
          <w:szCs w:val="24"/>
        </w:rPr>
        <w:t xml:space="preserve">Intervino la directora Técnica de la Unidad Administrativa Buen Comienzo, Laura Victoria Gómez:</w:t>
      </w:r>
    </w:p>
    <w:p>
      <w:pPr>
        <w:spacing w:after="240" w:line="300"/>
        <w:ind w:left="720" w:right="720"/>
        <w:jc w:val="both"/>
      </w:pPr>
      <w:r>
        <w:rPr>
          <w:rFonts w:ascii="Arial" w:cs="Arial" w:eastAsia="Arial" w:hAnsi="Arial"/>
          <w:sz w:val="22"/>
          <w:szCs w:val="22"/>
        </w:rPr>
        <w:t xml:space="preserve">“A la Unidad Administrativa le es asignado recursos del SGP de libre inversión para dos proyectos, para el caso de 2024 contamos con un valor asignado de $ 12 540 millones en dos proyectos de inversión: Servicio de atención integral a la primera infancia: $ 3013 millones.Proyecto de la situación nutricional de niños y niñas $ 9527 millones.Logrando una ejecución al 31 de diciembre sobre $ 10 649 millones.</w:t>
      </w:r>
    </w:p>
    <w:p>
      <w:pPr>
        <w:spacing w:after="240" w:line="360"/>
        <w:jc w:val="both"/>
      </w:pPr>
      <w:r>
        <w:rPr>
          <w:rFonts w:ascii="Arial" w:cs="Arial" w:eastAsia="Arial" w:hAnsi="Arial"/>
          <w:sz w:val="24"/>
          <w:szCs w:val="24"/>
        </w:rPr>
        <w:t xml:space="preserve">Acta 355</w:t>
      </w:r>
    </w:p>
    <w:p>
      <w:pPr>
        <w:spacing w:after="240" w:line="360"/>
        <w:jc w:val="both"/>
      </w:pPr>
      <w:r>
        <w:rPr>
          <w:rFonts w:ascii="Arial" w:cs="Arial" w:eastAsia="Arial" w:hAnsi="Arial"/>
          <w:sz w:val="24"/>
          <w:szCs w:val="24"/>
        </w:rPr>
        <w:t xml:space="preserve">Sandra Soto</w:t>
      </w:r>
    </w:p>
    <w:p>
      <w:pPr>
        <w:spacing w:after="240" w:line="360"/>
        <w:jc w:val="both"/>
      </w:pPr>
      <w:r>
        <w:rPr>
          <w:rFonts w:ascii="Arial" w:cs="Arial" w:eastAsia="Arial" w:hAnsi="Arial"/>
          <w:sz w:val="24"/>
          <w:szCs w:val="24"/>
        </w:rPr>
        <w:t xml:space="preserve">Parte 3, los últimos 59 minutos.</w:t>
      </w:r>
    </w:p>
    <w:p>
      <w:pPr>
        <w:spacing w:before="400" w:after="200" w:line="360"/>
        <w:jc w:val="left"/>
      </w:pPr>
      <w:r>
        <w:rPr>
          <w:rFonts w:ascii="Arial" w:cs="Arial" w:eastAsia="Arial" w:hAnsi="Arial"/>
          <w:b/>
          <w:bCs/>
          <w:sz w:val="24"/>
          <w:szCs w:val="24"/>
        </w:rPr>
        <w:t xml:space="preserve">Intervino el subdirector de escenarios Inder Medellín, Carlos Monsalve:</w:t>
      </w:r>
    </w:p>
    <w:p>
      <w:pPr>
        <w:spacing w:after="240" w:line="300"/>
        <w:ind w:left="720" w:right="720"/>
        <w:jc w:val="both"/>
      </w:pPr>
      <w:r>
        <w:rPr>
          <w:rFonts w:ascii="Arial" w:cs="Arial" w:eastAsia="Arial" w:hAnsi="Arial"/>
          <w:sz w:val="22"/>
          <w:szCs w:val="22"/>
        </w:rPr>
        <w:t xml:space="preserve">“El sistema general de participación para nosotros es una de las fuentes de financiación como dentro del instituto. De las dos vigencias, año 24 y 25 hemos tenido una inversión total por $ 22 581 millones, para el año 2024 hubo un recibo de inversión por $ 10 411 millones, estos fueron destinados a obras de mantenimiento de zonas verdes dentro del distrito, que es por ejemplo la cancha del estadio Atanasio Girardot, el estadio Cincuentenario, la grama natural de la Unidad Deportiva de Belén y zonas verdes que están aledañas a todos los escenarios de nosotros y que administra el Inder Medellín.</w:t>
      </w:r>
    </w:p>
    <w:p>
      <w:pPr>
        <w:spacing w:after="240" w:line="360"/>
        <w:jc w:val="both"/>
      </w:pPr>
      <w:r>
        <w:rPr>
          <w:rFonts w:ascii="Arial" w:cs="Arial" w:eastAsia="Arial" w:hAnsi="Arial"/>
          <w:sz w:val="24"/>
          <w:szCs w:val="24"/>
        </w:rPr>
        <w:t xml:space="preserve">Adicional a este contrato también estaba el mantenimiento de canchas en grama sintética, la recuperación de ellas, la última fue la cancha de Caunces de Oriente, era una cancha de arenilla y la llevamos a grama sintética, fue una inversión de $ 9 622 millones.</w:t>
      </w:r>
    </w:p>
    <w:p>
      <w:pPr>
        <w:spacing w:after="240" w:line="360"/>
        <w:jc w:val="both"/>
      </w:pPr>
      <w:r>
        <w:rPr>
          <w:rFonts w:ascii="Arial" w:cs="Arial" w:eastAsia="Arial" w:hAnsi="Arial"/>
          <w:sz w:val="24"/>
          <w:szCs w:val="24"/>
        </w:rPr>
        <w:t xml:space="preserve">Ya para el año 2025 la inversión es de $ 12 131 millones, está partida en tres contratos: un primer contrato que, incluso para la concejala Janeth, es en placa de Aragón, uno de los recursos adicionales a Presupuesto Participativo, donde estamos interviniendo en placas polideportivas, en San Antonio de Prado tenemos la placa de Aragón. Dentro del otro contrato está mantenimiento de sedes del Inder, ludotecas, núcleos recreativos. Y en el último contrato está otro mantenimiento que es de gramas sintéticas, que otra cancha que acabamos de entregar fue la de Santa Inés, donde estuvieron varios concejales acompañándonos en el recibo de este escenario”.</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“Ahora vamos a la intervención de los concejales que ha solicitado la palabra”.</w:t>
      </w:r>
    </w:p>
    <w:p>
      <w:pPr>
        <w:spacing w:before="400" w:after="200" w:line="360"/>
        <w:jc w:val="left"/>
      </w:pPr>
      <w:r>
        <w:rPr>
          <w:rFonts w:ascii="Arial" w:cs="Arial" w:eastAsia="Arial" w:hAnsi="Arial"/>
          <w:b/>
          <w:bCs/>
          <w:sz w:val="24"/>
          <w:szCs w:val="24"/>
        </w:rPr>
        <w:t xml:space="preserve">Intervino la concejal Camila Gaviria Barreneche:</w:t>
      </w:r>
    </w:p>
    <w:p>
      <w:pPr>
        <w:spacing w:after="240" w:line="300"/>
        <w:ind w:left="720" w:right="720"/>
        <w:jc w:val="both"/>
      </w:pPr>
      <w:r>
        <w:rPr>
          <w:rFonts w:ascii="Arial" w:cs="Arial" w:eastAsia="Arial" w:hAnsi="Arial"/>
          <w:sz w:val="22"/>
          <w:szCs w:val="22"/>
        </w:rPr>
        <w:t xml:space="preserve">“Agradeciendo enormemente la voluntad de la secretaría de Hacienda con la inversión de los recursos SGP (Sistema General de Participaciones), aquí vemos un interés importante, sobre todo en la población que represento, que es una de las más beneficiadas con la inversión de estos recursos.</w:t>
      </w:r>
    </w:p>
    <w:p>
      <w:pPr>
        <w:spacing w:after="240" w:line="360"/>
        <w:jc w:val="both"/>
      </w:pPr>
      <w:r>
        <w:rPr>
          <w:rFonts w:ascii="Arial" w:cs="Arial" w:eastAsia="Arial" w:hAnsi="Arial"/>
          <w:sz w:val="24"/>
          <w:szCs w:val="24"/>
        </w:rPr>
        <w:t xml:space="preserve">Yo quisiera centrarme puntualmente en la Unidad Administrativa Buen Comienzo y en un proyecto que surge bajo el liderazgo de Federico Gutiérrez en esta Administración y es el proyecto de «Nutrir para sanar, sanar para crecer».</w:t>
      </w:r>
    </w:p>
    <w:p>
      <w:pPr>
        <w:spacing w:after="240" w:line="360"/>
        <w:jc w:val="both"/>
      </w:pPr>
      <w:r>
        <w:rPr>
          <w:rFonts w:ascii="Arial" w:cs="Arial" w:eastAsia="Arial" w:hAnsi="Arial"/>
          <w:sz w:val="24"/>
          <w:szCs w:val="24"/>
        </w:rPr>
        <w:t xml:space="preserve">En el 2024 este proyecto dentro de la Unidad Administrativa Buen Comienzo tuvo una inversión de 9527 millones de pesos, donde se pudieron acompañar más de 18 000 niños, posteriormente en el 2025 gracias a los recursos del Sistema General de Participación se obtienen a la fecha de octubre 11 496 millones de pesos, acompañando a más de 16 000 niños.</w:t>
      </w:r>
    </w:p>
    <w:p>
      <w:pPr>
        <w:spacing w:after="240" w:line="360"/>
        <w:jc w:val="both"/>
      </w:pPr>
      <w:r>
        <w:rPr>
          <w:rFonts w:ascii="Arial" w:cs="Arial" w:eastAsia="Arial" w:hAnsi="Arial"/>
          <w:sz w:val="24"/>
          <w:szCs w:val="24"/>
        </w:rPr>
        <w:t xml:space="preserve">Aquí es importante analizar estas cifras de inversión cómo se ven incluidas o cómo repercuten realmente en el acompañamiento de los niños en su proceso de desarrollo.</w:t>
      </w:r>
    </w:p>
    <w:p>
      <w:pPr>
        <w:spacing w:after="240" w:line="360"/>
        <w:jc w:val="both"/>
      </w:pPr>
      <w:r>
        <w:rPr>
          <w:rFonts w:ascii="Arial" w:cs="Arial" w:eastAsia="Arial" w:hAnsi="Arial"/>
          <w:sz w:val="24"/>
          <w:szCs w:val="24"/>
        </w:rPr>
        <w:t xml:space="preserve">Aquí hay un punto importante, quisiera presentarles los indicadores de desnutrición que hoy tiene el Distrito de Medellín y que están enfocadas a esta inversión que se ha hecho, ustedes saben que los recursos SGP son de libre destinación y se ha puesto en marcha un análisis exhaustivo sobre el proceso de desarrollo de los niños en su nivel de desnutrición.</w:t>
      </w:r>
    </w:p>
    <w:p>
      <w:pPr>
        <w:spacing w:after="240" w:line="360"/>
        <w:jc w:val="both"/>
      </w:pPr>
      <w:r>
        <w:rPr>
          <w:rFonts w:ascii="Arial" w:cs="Arial" w:eastAsia="Arial" w:hAnsi="Arial"/>
          <w:sz w:val="24"/>
          <w:szCs w:val="24"/>
        </w:rPr>
        <w:t xml:space="preserve">Cuando se recibe la Administración en el 2024 se comienza a analizar a profundidad los indicadores de desnutrición, aquí vemos cómo la línea naranja muestra el 2024 y la línea azul el 2025, se empiezan a analizar las cifras y los indicadores y vemos que en el 24 arrancamos con 9.1 % desnutrición y en el 2025 con 11.1 %:</w:t>
      </w:r>
    </w:p>
    <w:p>
      <w:pPr>
        <w:spacing w:after="100"/>
      </w:pPr>
    </w:p>
    <w:p>
      <w:pPr>
        <w:spacing w:before="200" w:after="200"/>
        <w:jc w:val="center"/>
      </w:pPr>
      <w:r>
        <w:drawing>
          <wp:inline distT="0" distB="0" distL="0" distR="0">
            <wp:extent cx="4286250" cy="2252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4286250" cy="22520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Probablemente esa era la cifra real que se tenía en el 23, por eso se hizo esa investigación hasta lograr una cifra exhaustiva. Sabemos que la Administración anterior a la de Federico generalmente utilizaba indicadores y cifras que no tenían una justificación, al darse cuenta en la plataforma del Sistema de Seguimiento Nutricional Infantil (SENIN), que es el proceso de la secretaría de Salud y donde se analiza puntualmente estas estrategias, nos dimos cuenta que esta cifra ha venido disminuyendo gracias al proyecto de «Nutrir para sanar, sanar para crecer».</w:t>
      </w:r>
    </w:p>
    <w:p>
      <w:pPr>
        <w:spacing w:after="240" w:line="360"/>
        <w:jc w:val="both"/>
      </w:pPr>
      <w:r>
        <w:rPr>
          <w:rFonts w:ascii="Arial" w:cs="Arial" w:eastAsia="Arial" w:hAnsi="Arial"/>
          <w:sz w:val="24"/>
          <w:szCs w:val="24"/>
        </w:rPr>
        <w:t xml:space="preserve">Dentro del plan de desarrollo, justamente cuando se estaba realizando el escenario de definición de cifras y de metas alcanzadas, hablábamos de un 8.7 % de desnutrición en Medellín, una cifra bastante ambiciosa, los que conocemos este proceso con relación a la desnutrición crónica, les recuerdo que la desnutrición crónica es la que no lleva a la muerte del niño, sino que posteriormente lo va deteriorando e impide su desarrollo no solamente cognitivo, sino también físico y emocional, y a futuro y a largo plazo no tiene una posibilidad de generar recursos económicos para sí mismo porque no tiene habilidades cognitivas que permitan su proceso y su desarrollo.</w:t>
      </w:r>
    </w:p>
    <w:p>
      <w:pPr>
        <w:spacing w:after="240" w:line="360"/>
        <w:jc w:val="both"/>
      </w:pPr>
      <w:r>
        <w:rPr>
          <w:rFonts w:ascii="Arial" w:cs="Arial" w:eastAsia="Arial" w:hAnsi="Arial"/>
          <w:sz w:val="24"/>
          <w:szCs w:val="24"/>
        </w:rPr>
        <w:t xml:space="preserve">Aquí entonces vemos cómo el Distrito en el 2025 ha alcanzado ya esa meta de 8.7 % de desnutrición, esta es una cifra histórica que la ciudad nunca antes había tenido y que gracias a esa inversión en el proyecto de «Nutrir para sanar, sanar para crecer», esa voluntad política hoy muestra y determina cómo estas estrategias realmente tienen impacto en los territorios.</w:t>
      </w:r>
    </w:p>
    <w:p>
      <w:pPr>
        <w:spacing w:after="240" w:line="360"/>
        <w:jc w:val="both"/>
      </w:pPr>
      <w:r>
        <w:rPr>
          <w:rFonts w:ascii="Arial" w:cs="Arial" w:eastAsia="Arial" w:hAnsi="Arial"/>
          <w:sz w:val="24"/>
          <w:szCs w:val="24"/>
        </w:rPr>
        <w:t xml:space="preserve">Yo quería presentarles esta gráfica porque aquí nos damos cuenta cómo sí ha venido disminuyendo esa desnutrición, cómo de alguna manera aquí nos damos cuenta que esos indicadores sí han permitido ir disminuyendo, ir generando un proceso importante que permite en el 2025 tener unos indicadores de 0.5 % en esos</w:t>
      </w:r>
    </w:p>
    <w:p>
      <w:pPr>
        <w:spacing w:after="240" w:line="360"/>
        <w:jc w:val="both"/>
      </w:pPr>
      <w:r>
        <w:rPr>
          <w:rFonts w:ascii="Arial" w:cs="Arial" w:eastAsia="Arial" w:hAnsi="Arial"/>
          <w:sz w:val="24"/>
          <w:szCs w:val="24"/>
        </w:rPr>
        <w:t xml:space="preserve">comparativos de mes a mes del indicador de desnutrición aguda para niños. Sabemos que la aguda es la que sí mata a los niños, la desnutrición aguda es la que lleva a la muerte al niño y a la niña digamos que en esos primeros años de vida.</w:t>
      </w:r>
    </w:p>
    <w:p>
      <w:pPr>
        <w:spacing w:after="100"/>
      </w:pPr>
    </w:p>
    <w:p>
      <w:pPr>
        <w:spacing w:before="200" w:after="200"/>
        <w:jc w:val="center"/>
      </w:pPr>
      <w:r>
        <w:drawing>
          <wp:inline distT="0" distB="0" distL="0" distR="0">
            <wp:extent cx="4286250" cy="2327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4286250" cy="23279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Yo quisiera también mencionar con relación a esos objetivos que se han venido cumpliendo a través de este proyecto y es pedirle a la Administración mejorar esos indicadores, ya se ha alcanzado la meta, sin embargo, sería importante poder tener la posibilidad de seguirla disminuyendo y fortaleciendo.</w:t>
      </w:r>
    </w:p>
    <w:p>
      <w:pPr>
        <w:spacing w:after="240" w:line="360"/>
        <w:jc w:val="both"/>
      </w:pPr>
      <w:r>
        <w:rPr>
          <w:rFonts w:ascii="Arial" w:cs="Arial" w:eastAsia="Arial" w:hAnsi="Arial"/>
          <w:sz w:val="24"/>
          <w:szCs w:val="24"/>
        </w:rPr>
        <w:t xml:space="preserve">Dirigir también las acciones hacia el indicador de bajo peso al nacer, es un indicador que también tiene un impacto representativo en el proceso de desnutrición. Y aquí también es importante seguir generando y avanzar en esas acciones contra la inseguridad alimentaria que, a su vez, se vienen generando también desde la secretaría de Inclusión con las estrategias que se tiene desde el PAE (Programa de Alimentación Escolar)</w:t>
      </w:r>
    </w:p>
    <w:p>
      <w:pPr>
        <w:spacing w:after="240" w:line="360"/>
        <w:jc w:val="both"/>
      </w:pPr>
      <w:r>
        <w:rPr>
          <w:rFonts w:ascii="Arial" w:cs="Arial" w:eastAsia="Arial" w:hAnsi="Arial"/>
          <w:sz w:val="24"/>
          <w:szCs w:val="24"/>
        </w:rPr>
        <w:t xml:space="preserve">Yo quisiera entonces dejar sobre esta mesa hoy la posibilidad de que se siga invirtiendo para el 2026 estos recursos del Sistema General de Participación en «nutrir para sanar, sanar para crecer», una estrategia que evidentemente está teniendo resultados y que hoy nos presenta una cifra histórica en la ciudad, donde ese 8.7 % de desnutrición crónica nos permite evidenciar que hay un resultado y que esa inversión sí se está viendo, y que la transformación social que buscamos en la población de niños y niñas efectivamente se está generando y es la que buscamos desde esta curul”.</w:t>
      </w:r>
    </w:p>
    <w:p>
      <w:pPr>
        <w:spacing w:before="400" w:after="200" w:line="360"/>
        <w:jc w:val="left"/>
      </w:pPr>
      <w:r>
        <w:rPr>
          <w:rFonts w:ascii="Arial" w:cs="Arial" w:eastAsia="Arial" w:hAnsi="Arial"/>
          <w:b/>
          <w:bCs/>
          <w:sz w:val="24"/>
          <w:szCs w:val="24"/>
        </w:rPr>
        <w:t xml:space="preserve">Intervino el concejal Luis Guillermo de Jesús Vélez Álvarez:</w:t>
      </w:r>
    </w:p>
    <w:p>
      <w:pPr>
        <w:spacing w:after="240" w:line="300"/>
        <w:ind w:left="720" w:right="720"/>
        <w:jc w:val="both"/>
      </w:pPr>
      <w:r>
        <w:rPr>
          <w:rFonts w:ascii="Arial" w:cs="Arial" w:eastAsia="Arial" w:hAnsi="Arial"/>
          <w:sz w:val="22"/>
          <w:szCs w:val="22"/>
        </w:rPr>
        <w:t xml:space="preserve">“Tengo un par de inquietudes, una es con relación a lo de educación. De pronto quisiera que me recordaran cómo es que se asigna ese recurso, si es por capitación o eso está complementado con algo, que no recuerdo muy bien cómo los criterios de asignación de los recursos de Educación del Sistema General de Participaciones.</w:t>
      </w:r>
    </w:p>
    <w:p>
      <w:pPr>
        <w:spacing w:after="240" w:line="360"/>
        <w:jc w:val="both"/>
      </w:pPr>
      <w:r>
        <w:rPr>
          <w:rFonts w:ascii="Arial" w:cs="Arial" w:eastAsia="Arial" w:hAnsi="Arial"/>
          <w:sz w:val="24"/>
          <w:szCs w:val="24"/>
        </w:rPr>
        <w:t xml:space="preserve">Y la otra inquietud es con relación a la bolsita de agua y saneamiento, doctora Manuela, me da la impresión de que buena parte de eso, si no la mayor parte, se va en el subsidio a las tarifas, pero yo entendía que el subsidio a las tarifas se financiaba con las contribuciones muy altas que estamos pagando las familias de estrato 5, 6, el comercio y la industria para financiar, entonces no está alcanzando.</w:t>
      </w:r>
    </w:p>
    <w:p>
      <w:pPr>
        <w:spacing w:after="240" w:line="360"/>
        <w:jc w:val="both"/>
      </w:pPr>
      <w:r>
        <w:rPr>
          <w:rFonts w:ascii="Arial" w:cs="Arial" w:eastAsia="Arial" w:hAnsi="Arial"/>
          <w:sz w:val="24"/>
          <w:szCs w:val="24"/>
        </w:rPr>
        <w:t xml:space="preserve">Y la otra inquietud que tengo tiene que ver con las inversiones. Entonces usted habla de una serie de inversiones que se hacen en plantas de tratamiento, incluso hay una planta de aguas residuales en algún lado, esos activos se entregan a Empresas Públicas de Medellín – EPM, cómo funciona eso y cómo funciona con relación a la tarifa que EPM cobra finalmente a todos sus clientes”.</w:t>
      </w:r>
    </w:p>
    <w:p>
      <w:pPr>
        <w:spacing w:before="400" w:after="200" w:line="360"/>
        <w:jc w:val="left"/>
      </w:pPr>
      <w:r>
        <w:rPr>
          <w:rFonts w:ascii="Arial" w:cs="Arial" w:eastAsia="Arial" w:hAnsi="Arial"/>
          <w:b/>
          <w:bCs/>
          <w:sz w:val="24"/>
          <w:szCs w:val="24"/>
        </w:rPr>
        <w:t xml:space="preserve">Intervino el concejal Farley Jhair Macías Betancur:</w:t>
      </w:r>
    </w:p>
    <w:p>
      <w:pPr>
        <w:spacing w:after="240" w:line="300"/>
        <w:ind w:left="720" w:right="720"/>
        <w:jc w:val="both"/>
      </w:pPr>
      <w:r>
        <w:rPr>
          <w:rFonts w:ascii="Arial" w:cs="Arial" w:eastAsia="Arial" w:hAnsi="Arial"/>
          <w:sz w:val="22"/>
          <w:szCs w:val="22"/>
        </w:rPr>
        <w:t xml:space="preserve">“Inicio con la secretaría de Inclusión Social.</w:t>
      </w:r>
    </w:p>
    <w:p>
      <w:pPr>
        <w:spacing w:after="240" w:line="360"/>
        <w:jc w:val="both"/>
      </w:pPr>
      <w:r>
        <w:rPr>
          <w:rFonts w:ascii="Arial" w:cs="Arial" w:eastAsia="Arial" w:hAnsi="Arial"/>
          <w:sz w:val="24"/>
          <w:szCs w:val="24"/>
        </w:rPr>
        <w:t xml:space="preserve">Elementos positivos que plantean: sobre el PAE con un aumento de 74 %, 89 % de cobertura, 244 232 escolares atendidos en 2024, 218 053 familias con asistencia alimentaria en 2024, 22 337 hogares capacitados en hábitos saludables en 2025, 6515 niños, niñas y adolescentes con restablecimiento de derechos en 2024.</w:t>
      </w:r>
    </w:p>
    <w:p>
      <w:pPr>
        <w:spacing w:after="240" w:line="360"/>
        <w:jc w:val="both"/>
      </w:pPr>
      <w:r>
        <w:rPr>
          <w:rFonts w:ascii="Arial" w:cs="Arial" w:eastAsia="Arial" w:hAnsi="Arial"/>
          <w:sz w:val="24"/>
          <w:szCs w:val="24"/>
        </w:rPr>
        <w:t xml:space="preserve">Estrategias de psicoterapia: Jugar a Sanar, 420 menores en 2024 y atención a personas con discapacidad.</w:t>
      </w:r>
    </w:p>
    <w:p>
      <w:pPr>
        <w:spacing w:after="240" w:line="360"/>
        <w:jc w:val="both"/>
      </w:pPr>
      <w:r>
        <w:rPr>
          <w:rFonts w:ascii="Arial" w:cs="Arial" w:eastAsia="Arial" w:hAnsi="Arial"/>
          <w:sz w:val="24"/>
          <w:szCs w:val="24"/>
        </w:rPr>
        <w:t xml:space="preserve">Quiero resaltar algunos elementos que llaman mi atención:</w:t>
      </w:r>
    </w:p>
    <w:p>
      <w:pPr>
        <w:spacing w:after="240" w:line="360"/>
        <w:jc w:val="both"/>
      </w:pPr>
      <w:r>
        <w:rPr>
          <w:rFonts w:ascii="Arial" w:cs="Arial" w:eastAsia="Arial" w:hAnsi="Arial"/>
          <w:sz w:val="24"/>
          <w:szCs w:val="24"/>
        </w:rPr>
        <w:t xml:space="preserve">1. No se muestra una ejecución financiera exacta, cifras sueltas, 106 270 millones en 2024 y 113 591 millones en 2025.</w:t>
      </w:r>
    </w:p>
    <w:p>
      <w:pPr>
        <w:spacing w:after="240" w:line="360"/>
        <w:jc w:val="both"/>
      </w:pPr>
      <w:r>
        <w:rPr>
          <w:rFonts w:ascii="Arial" w:cs="Arial" w:eastAsia="Arial" w:hAnsi="Arial"/>
          <w:sz w:val="24"/>
          <w:szCs w:val="24"/>
        </w:rPr>
        <w:t xml:space="preserve">2. No se explica porqué baja la atención a discapacidad en 2025, de 1540 a 597 personas.</w:t>
      </w:r>
    </w:p>
    <w:p>
      <w:pPr>
        <w:spacing w:after="240" w:line="360"/>
        <w:jc w:val="both"/>
      </w:pPr>
      <w:r>
        <w:rPr>
          <w:rFonts w:ascii="Arial" w:cs="Arial" w:eastAsia="Arial" w:hAnsi="Arial"/>
          <w:sz w:val="24"/>
          <w:szCs w:val="24"/>
        </w:rPr>
        <w:t xml:space="preserve">3. No se muestran territorialización.</w:t>
      </w:r>
    </w:p>
    <w:p>
      <w:pPr>
        <w:spacing w:after="240" w:line="360"/>
        <w:jc w:val="both"/>
      </w:pPr>
      <w:r>
        <w:rPr>
          <w:rFonts w:ascii="Arial" w:cs="Arial" w:eastAsia="Arial" w:hAnsi="Arial"/>
          <w:sz w:val="24"/>
          <w:szCs w:val="24"/>
        </w:rPr>
        <w:t xml:space="preserve">4. No explican si la meta de 100 000 nuevos cupos PAE por año es financiable con el SGP, porque el SGP del PAE entonces no creció en esa proporción.</w:t>
      </w:r>
    </w:p>
    <w:p>
      <w:pPr>
        <w:spacing w:after="240" w:line="360"/>
        <w:jc w:val="both"/>
      </w:pPr>
      <w:r>
        <w:rPr>
          <w:rFonts w:ascii="Arial" w:cs="Arial" w:eastAsia="Arial" w:hAnsi="Arial"/>
          <w:sz w:val="24"/>
          <w:szCs w:val="24"/>
        </w:rPr>
        <w:t xml:space="preserve">Capacitación: 14 000 22 000 millones, suena inflada sin correlato financiero ni metodológico.</w:t>
      </w:r>
    </w:p>
    <w:p>
      <w:pPr>
        <w:spacing w:after="240" w:line="360"/>
        <w:jc w:val="both"/>
      </w:pPr>
      <w:r>
        <w:rPr>
          <w:rFonts w:ascii="Arial" w:cs="Arial" w:eastAsia="Arial" w:hAnsi="Arial"/>
          <w:sz w:val="24"/>
          <w:szCs w:val="24"/>
        </w:rPr>
        <w:t xml:space="preserve">Cultura. Un informe más ordenado y detecto algunos vacíos estratégicos.</w:t>
      </w:r>
    </w:p>
    <w:p>
      <w:pPr>
        <w:spacing w:after="240" w:line="360"/>
        <w:jc w:val="both"/>
      </w:pPr>
      <w:r>
        <w:rPr>
          <w:rFonts w:ascii="Arial" w:cs="Arial" w:eastAsia="Arial" w:hAnsi="Arial"/>
          <w:sz w:val="24"/>
          <w:szCs w:val="24"/>
        </w:rPr>
        <w:t xml:space="preserve">Quiero iniciar resaltando lo positivo. 4 430 000 usuarios de bibliotecas en 2024 – 2025; Red de Música con 28 escuelas y 8200 participantes; atención inclusiva con 432 niños con discapacidad; 533 000 actividades en dos vigencias, más de 600 000 préstamos de libros.</w:t>
      </w:r>
    </w:p>
    <w:p>
      <w:pPr>
        <w:spacing w:after="240" w:line="360"/>
        <w:jc w:val="both"/>
      </w:pPr>
      <w:r>
        <w:rPr>
          <w:rFonts w:ascii="Arial" w:cs="Arial" w:eastAsia="Arial" w:hAnsi="Arial"/>
          <w:sz w:val="24"/>
          <w:szCs w:val="24"/>
        </w:rPr>
        <w:t xml:space="preserve">Y algunos elementos que quiero resaltar, para su observación y atención, el informe confunde usos con impactos. No hay metafísica versus meta compilada; no se desagregan los 9171 millones de pesos de 2025 por línea de investigación; la cifra de 533 000 actividades en 2 años podría ser irreal, representaría más de 700 actividades diarias y no se explica cómo el SGP realmente mejora calidad educativa y cultural.</w:t>
      </w:r>
    </w:p>
    <w:p>
      <w:pPr>
        <w:spacing w:after="240" w:line="360"/>
        <w:jc w:val="both"/>
      </w:pPr>
      <w:r>
        <w:rPr>
          <w:rFonts w:ascii="Arial" w:cs="Arial" w:eastAsia="Arial" w:hAnsi="Arial"/>
          <w:sz w:val="24"/>
          <w:szCs w:val="24"/>
        </w:rPr>
        <w:t xml:space="preserve">Buen Comienzo - primera infancia, elementos positivos. 18 570 niños atendidos en 2024 en nutrición; 16 700 en 2025.</w:t>
      </w:r>
    </w:p>
    <w:p>
      <w:pPr>
        <w:spacing w:after="240" w:line="360"/>
        <w:jc w:val="both"/>
      </w:pPr>
      <w:r>
        <w:rPr>
          <w:rFonts w:ascii="Arial" w:cs="Arial" w:eastAsia="Arial" w:hAnsi="Arial"/>
          <w:sz w:val="24"/>
          <w:szCs w:val="24"/>
        </w:rPr>
        <w:t xml:space="preserve">Infraestructura: Jardín Infantil San Sebastián de Palmitas. Inversión progresiva en atención integral, 17 227 millones de pesos en 2025.</w:t>
      </w:r>
    </w:p>
    <w:p>
      <w:pPr>
        <w:spacing w:after="240" w:line="360"/>
        <w:jc w:val="both"/>
      </w:pPr>
      <w:r>
        <w:rPr>
          <w:rFonts w:ascii="Arial" w:cs="Arial" w:eastAsia="Arial" w:hAnsi="Arial"/>
          <w:sz w:val="24"/>
          <w:szCs w:val="24"/>
        </w:rPr>
        <w:t xml:space="preserve">Algunos problemas que quiero mencionar. La reducción de niños atendidos en 2025</w:t>
      </w:r>
    </w:p>
    <w:p>
      <w:pPr>
        <w:spacing w:after="240" w:line="360"/>
        <w:jc w:val="both"/>
      </w:pPr>
      <w:r>
        <w:rPr>
          <w:rFonts w:ascii="Arial" w:cs="Arial" w:eastAsia="Arial" w:hAnsi="Arial"/>
          <w:sz w:val="24"/>
          <w:szCs w:val="24"/>
        </w:rPr>
        <w:t xml:space="preserve">no se explica, es menester exponerlo en la plenaria.</w:t>
      </w:r>
    </w:p>
    <w:p>
      <w:pPr>
        <w:spacing w:after="240" w:line="360"/>
        <w:jc w:val="both"/>
      </w:pPr>
      <w:r>
        <w:rPr>
          <w:rFonts w:ascii="Arial" w:cs="Arial" w:eastAsia="Arial" w:hAnsi="Arial"/>
          <w:sz w:val="24"/>
          <w:szCs w:val="24"/>
        </w:rPr>
        <w:t xml:space="preserve">No se muestra completitud de metas de infraestructura, no se presenta trazabilidad de la cofinanciación entre SGP y recursos distritales.</w:t>
      </w:r>
    </w:p>
    <w:p>
      <w:pPr>
        <w:spacing w:after="240" w:line="360"/>
        <w:jc w:val="both"/>
      </w:pPr>
      <w:r>
        <w:rPr>
          <w:rFonts w:ascii="Arial" w:cs="Arial" w:eastAsia="Arial" w:hAnsi="Arial"/>
          <w:sz w:val="24"/>
          <w:szCs w:val="24"/>
        </w:rPr>
        <w:t xml:space="preserve">Educación. El único informe técnicamente muy bien elaborado y estratégico. Lo positivo es que reconoce que 92.5 % del SGP de educación es nómina, lo cual es verdad.</w:t>
      </w:r>
    </w:p>
    <w:p>
      <w:pPr>
        <w:spacing w:after="240" w:line="360"/>
        <w:jc w:val="both"/>
      </w:pPr>
      <w:r>
        <w:rPr>
          <w:rFonts w:ascii="Arial" w:cs="Arial" w:eastAsia="Arial" w:hAnsi="Arial"/>
          <w:sz w:val="24"/>
          <w:szCs w:val="24"/>
        </w:rPr>
        <w:t xml:space="preserve">Explica la figura de recursos sin situación de fondos que transfiere directamente a FSE. Desagrega componentes, conectividad, riesgos laborales, educación inclusiva, transporte escolar, servicios públicos.</w:t>
      </w:r>
    </w:p>
    <w:p>
      <w:pPr>
        <w:spacing w:after="240" w:line="360"/>
        <w:jc w:val="both"/>
      </w:pPr>
      <w:r>
        <w:rPr>
          <w:rFonts w:ascii="Arial" w:cs="Arial" w:eastAsia="Arial" w:hAnsi="Arial"/>
          <w:sz w:val="24"/>
          <w:szCs w:val="24"/>
        </w:rPr>
        <w:t xml:space="preserve">Da metas concretas, 43 000 estudiantes en media técnica, 8000 estudiantes con discapacidad, 30 000 cupos contratados en cobertura, 11 000 estudiantes con transporte escolar.</w:t>
      </w:r>
    </w:p>
    <w:p>
      <w:pPr>
        <w:spacing w:after="240" w:line="360"/>
        <w:jc w:val="both"/>
      </w:pPr>
      <w:r>
        <w:rPr>
          <w:rFonts w:ascii="Arial" w:cs="Arial" w:eastAsia="Arial" w:hAnsi="Arial"/>
          <w:sz w:val="24"/>
          <w:szCs w:val="24"/>
        </w:rPr>
        <w:t xml:space="preserve">Algunos elementos que quiero resaltar para su atención. No se reconoce los rezagos en infraestructura educativa, que es el principal dolor.</w:t>
      </w:r>
    </w:p>
    <w:p>
      <w:pPr>
        <w:spacing w:after="240" w:line="360"/>
        <w:jc w:val="both"/>
      </w:pPr>
      <w:r>
        <w:rPr>
          <w:rFonts w:ascii="Arial" w:cs="Arial" w:eastAsia="Arial" w:hAnsi="Arial"/>
          <w:sz w:val="24"/>
          <w:szCs w:val="24"/>
        </w:rPr>
        <w:t xml:space="preserve">Nunca hemos tenido deficiencias, «es falso», en 2024 hubo múltiples quejas en vigilancias, servicios públicos y aseo.</w:t>
      </w:r>
    </w:p>
    <w:p>
      <w:pPr>
        <w:spacing w:after="240" w:line="360"/>
        <w:jc w:val="both"/>
      </w:pPr>
      <w:r>
        <w:rPr>
          <w:rFonts w:ascii="Arial" w:cs="Arial" w:eastAsia="Arial" w:hAnsi="Arial"/>
          <w:sz w:val="24"/>
          <w:szCs w:val="24"/>
        </w:rPr>
        <w:t xml:space="preserve">No se presentó ejecución financiera detallada por subcomponente.</w:t>
      </w:r>
    </w:p>
    <w:p>
      <w:pPr>
        <w:spacing w:after="240" w:line="360"/>
        <w:jc w:val="both"/>
      </w:pPr>
      <w:r>
        <w:rPr>
          <w:rFonts w:ascii="Arial" w:cs="Arial" w:eastAsia="Arial" w:hAnsi="Arial"/>
          <w:sz w:val="24"/>
          <w:szCs w:val="24"/>
        </w:rPr>
        <w:t xml:space="preserve">En salud. Buena descripción de programas, me preocupa que no hay alertas. Y quiero mencionar lo positivo:</w:t>
      </w:r>
    </w:p>
    <w:p>
      <w:pPr>
        <w:spacing w:after="240" w:line="360"/>
        <w:jc w:val="both"/>
      </w:pPr>
      <w:r>
        <w:rPr>
          <w:rFonts w:ascii="Arial" w:cs="Arial" w:eastAsia="Arial" w:hAnsi="Arial"/>
          <w:sz w:val="24"/>
          <w:szCs w:val="24"/>
        </w:rPr>
        <w:t xml:space="preserve">Mantiene una cobertura superior igual al 100 % de aseguramiento normal por ajustes, 77 725 vacunas antirrábicas aplicadas; aplicación de 7725 vacunas regulares es baja; estudios de brote, control de vectores P y C.</w:t>
      </w:r>
    </w:p>
    <w:p>
      <w:pPr>
        <w:spacing w:after="240" w:line="360"/>
        <w:jc w:val="both"/>
      </w:pPr>
      <w:r>
        <w:rPr>
          <w:rFonts w:ascii="Arial" w:cs="Arial" w:eastAsia="Arial" w:hAnsi="Arial"/>
          <w:sz w:val="24"/>
          <w:szCs w:val="24"/>
        </w:rPr>
        <w:t xml:space="preserve">Y algunos elementos que quiero resaltar. No explican por qué el SGP Salud 2025 cayó respecto a 2024; no desglosan una ejecución real de UPC, PIC y subsidio de oferta; no cuantifican el déficit estructural del régimen subsidiado; no hablan de APS, que es el corazón del modelo y las cifras están desorganizadas, mezclan actividades y valores.</w:t>
      </w:r>
    </w:p>
    <w:p>
      <w:pPr>
        <w:spacing w:after="240" w:line="360"/>
        <w:jc w:val="both"/>
      </w:pPr>
      <w:r>
        <w:rPr>
          <w:rFonts w:ascii="Arial" w:cs="Arial" w:eastAsia="Arial" w:hAnsi="Arial"/>
          <w:sz w:val="24"/>
          <w:szCs w:val="24"/>
        </w:rPr>
        <w:t xml:space="preserve">Servicios públicos, el informe más crítico en términos de riesgo, especialmente si hablamos de las laderas de la comuna 1 – Popular, entre Granizal, Vereda Granizal y Santo Domingo Savio, pero quiero resaltar lo positivo y es, 314 693 viviendas beneficiadas en acueducto; 294 510 en alcantarillado; 262 888 en aseo; 5479 hogares hogares conectados con «Unidos por el agua» en 2024; proyectos de San Sebastián de Palmitas, San Cristóbal, Altavista y San Antonio de Prado, y 8740 millones para atender emergencias de abril, mayo de 2025.</w:t>
      </w:r>
    </w:p>
    <w:p>
      <w:pPr>
        <w:spacing w:after="240" w:line="360"/>
        <w:jc w:val="both"/>
      </w:pPr>
      <w:r>
        <w:rPr>
          <w:rFonts w:ascii="Arial" w:cs="Arial" w:eastAsia="Arial" w:hAnsi="Arial"/>
          <w:sz w:val="24"/>
          <w:szCs w:val="24"/>
        </w:rPr>
        <w:t xml:space="preserve">Algunos elementos que quiero resaltar. Toda la carga del riesgo geotécnico no se menciona; no se evalúan si las soluciones ejecutadas en 2024 - 2025 son suficientes para los corregimientos más vulnerables; la cifra de 434 000 viviendas beneficiadas con acueducto en 2025 parece inflada o repetida y no explican el retraso histórico del alcantarillado rural; tampoco se muestra una ejecución del PAC ni ejecución acumulada.</w:t>
      </w:r>
    </w:p>
    <w:p>
      <w:pPr>
        <w:spacing w:after="240" w:line="360"/>
        <w:jc w:val="both"/>
      </w:pPr>
      <w:r>
        <w:rPr>
          <w:rFonts w:ascii="Arial" w:cs="Arial" w:eastAsia="Arial" w:hAnsi="Arial"/>
          <w:sz w:val="24"/>
          <w:szCs w:val="24"/>
        </w:rPr>
        <w:t xml:space="preserve">Inder, escenarios deportivos. Lo positivo que quiero mencionar. Hay una recuperación de canchas de grama sintética como Tricentenario, Santa Fe, entre otras; hay una inversión de 22 581 millones entre 2024 y 2025.</w:t>
      </w:r>
    </w:p>
    <w:p>
      <w:pPr>
        <w:spacing w:after="240" w:line="360"/>
        <w:jc w:val="both"/>
      </w:pPr>
      <w:r>
        <w:rPr>
          <w:rFonts w:ascii="Arial" w:cs="Arial" w:eastAsia="Arial" w:hAnsi="Arial"/>
          <w:sz w:val="24"/>
          <w:szCs w:val="24"/>
        </w:rPr>
        <w:t xml:space="preserve">Y algunos problemas que quiero resaltar u observaciones y es que no se explican cómo priorizan los barrios más vulnerables; no cuantifican el déficit de escenarios y no explican el mantenimiento preventivo ni la vida útil de las obras”.</w:t>
      </w:r>
    </w:p>
    <w:p>
      <w:pPr>
        <w:spacing w:after="240" w:line="360"/>
        <w:jc w:val="both"/>
      </w:pPr>
      <w:r>
        <w:rPr>
          <w:rFonts w:ascii="Arial" w:cs="Arial" w:eastAsia="Arial" w:hAnsi="Arial"/>
          <w:sz w:val="24"/>
          <w:szCs w:val="24"/>
        </w:rPr>
        <w:t xml:space="preserve">3. 	Lectura de comunicaciones.</w:t>
      </w:r>
    </w:p>
    <w:p>
      <w:pPr>
        <w:spacing w:after="240" w:line="360"/>
        <w:jc w:val="both"/>
      </w:pPr>
      <w:r>
        <w:rPr>
          <w:rFonts w:ascii="Arial" w:cs="Arial" w:eastAsia="Arial" w:hAnsi="Arial"/>
          <w:sz w:val="24"/>
          <w:szCs w:val="24"/>
        </w:rPr>
        <w:t xml:space="preserve">El secretario General informó que no había comunicaciones objeto de lectura.</w:t>
      </w:r>
    </w:p>
    <w:p>
      <w:pPr>
        <w:spacing w:after="240" w:line="360"/>
        <w:jc w:val="both"/>
      </w:pPr>
      <w:r>
        <w:rPr>
          <w:rFonts w:ascii="Arial" w:cs="Arial" w:eastAsia="Arial" w:hAnsi="Arial"/>
          <w:sz w:val="24"/>
          <w:szCs w:val="24"/>
        </w:rPr>
        <w:t xml:space="preserve">4.	Proposiciones</w:t>
      </w:r>
    </w:p>
    <w:p>
      <w:pPr>
        <w:spacing w:after="240" w:line="360"/>
        <w:jc w:val="both"/>
      </w:pPr>
      <w:r>
        <w:rPr>
          <w:rFonts w:ascii="Arial" w:cs="Arial" w:eastAsia="Arial" w:hAnsi="Arial"/>
          <w:sz w:val="24"/>
          <w:szCs w:val="24"/>
        </w:rPr>
        <w:t xml:space="preserve">El secretario General informó que no había proposiciones radicadas.</w:t>
      </w:r>
    </w:p>
    <w:p>
      <w:pPr>
        <w:spacing w:after="240" w:line="360"/>
        <w:jc w:val="both"/>
      </w:pPr>
      <w:r>
        <w:rPr>
          <w:rFonts w:ascii="Arial" w:cs="Arial" w:eastAsia="Arial" w:hAnsi="Arial"/>
          <w:sz w:val="24"/>
          <w:szCs w:val="24"/>
        </w:rPr>
        <w:t xml:space="preserve">5.	 Asuntos varios.</w:t>
      </w:r>
    </w:p>
    <w:p>
      <w:pPr>
        <w:spacing w:after="240" w:line="360"/>
        <w:jc w:val="both"/>
      </w:pPr>
      <w:r>
        <w:rPr>
          <w:rFonts w:ascii="Arial" w:cs="Arial" w:eastAsia="Arial" w:hAnsi="Arial"/>
          <w:sz w:val="24"/>
          <w:szCs w:val="24"/>
        </w:rPr>
        <w:t xml:space="preserve">El secretario General informó que no hay asuntos varios para tratar.</w:t>
      </w:r>
    </w:p>
    <w:p>
      <w:pPr>
        <w:spacing w:after="240" w:line="360"/>
        <w:jc w:val="both"/>
      </w:pPr>
      <w:r>
        <w:rPr>
          <w:rFonts w:ascii="Arial" w:cs="Arial" w:eastAsia="Arial" w:hAnsi="Arial"/>
          <w:sz w:val="24"/>
          <w:szCs w:val="24"/>
        </w:rPr>
        <w:t xml:space="preserve">Agotado el orden del día, el presidente levantó la sesión siendo las 09:25 horas.</w:t>
      </w:r>
    </w:p>
    <w:p>
      <w:pPr>
        <w:spacing w:after="240" w:line="360"/>
        <w:jc w:val="both"/>
      </w:pPr>
      <w:r>
        <w:rPr>
          <w:rFonts w:ascii="Arial" w:cs="Arial" w:eastAsia="Arial" w:hAnsi="Arial"/>
          <w:sz w:val="24"/>
          <w:szCs w:val="24"/>
        </w:rPr>
        <w:t xml:space="preserve">CONVOCATORIA: la próxima sesión plenaria se realizará el martes 18 de noviembre de 2025 a las 08:00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https://www.youtube.com/watch?v=17TfA7zIalc&amp;amp;t=212s.</w:t>
      </w:r>
    </w:p>
    <w:p>
      <w:pPr>
        <w:spacing w:after="240" w:line="360"/>
        <w:jc w:val="both"/>
      </w:pPr>
      <w:r>
        <w:rPr>
          <w:rFonts w:ascii="Arial" w:cs="Arial" w:eastAsia="Arial" w:hAnsi="Arial"/>
          <w:sz w:val="24"/>
          <w:szCs w:val="24"/>
        </w:rPr>
        <w:t xml:space="preserve">Para acceder al material audiovisual presentado en la sesión plenaria, visite el sitio web:</w:t>
      </w:r>
    </w:p>
    <w:p>
      <w:pPr>
        <w:spacing w:after="240" w:line="360"/>
        <w:jc w:val="both"/>
      </w:pPr>
      <w:r>
        <w:rPr>
          <w:rFonts w:ascii="Arial" w:cs="Arial" w:eastAsia="Arial" w:hAnsi="Arial"/>
          <w:sz w:val="24"/>
          <w:szCs w:val="24"/>
        </w:rPr>
        <w:t xml:space="preserve">https://simi.concejodemedellin.gov.co/simi3/invitados/plenaria/debates.xhtmlSeleccione el número de la plenaria de su interés y en la pestaña «anexos» consulte los archivos.Anexos: Registro de asistencia a sesión plenaria (1 folio)Certificado asistencia concejala Janeth Hurtado Betancur (1 folio)Invitaciones, modificaciones (35 folios)Delegación INDER. Carlos Alejandro Monsalve. Radicado 202520006053 (2 folios)Delegación secretaria Privada. José Luis Correa Henao. Radicado 202520006050 (1 folio)Delegación Alcaldía Distrital de Medellín. Luz Ángela González Gómez, directora del Departamento Administrativo de Planeación. Radicado 202520006051 (1 folio)Delegación Unidad Administrativa Especial de Buen Comienzo. Laura Victoria Gómez Naranjo. Radicado 202520005983 (1 folio)Delegación secretaria de Gestión y Control Territorial. Manuela García Gil. Radicado 20252005928 (1 folio)Respuesta Inder. Radicado 202520006011 (4 folios)Respuesta Inder. Radicado 202520006022 (4 folios)Respuesta secretaría de Cultura Ciudadana. Radicado 202520006019 (5 folios)Respuesta secretaría de Inclusión Social y Familia. Radicado 202520006044 (5 folios)Respuesta secretaria de Gestión y Control Territorial. Radicado 202520006045 (3 folios)Respuesta secretaria de Innovación Digital. Radicado 202520006046 (1 folio)Respuesta secretaria de Educación. Radicado 202520006048 (4 folios)Respuesta secretaria de Desarrollo Económico. Radicado 202520006049 (11 folios)Respuesta Unidad Administrativa Especial de Buen Comienzo. Radicado 202520006054 (4 folios)Respuesta secretaría de Hacienda. Radicado 202520006067 (9 folios)Respuesta secretaría de Paz y Derechos Humanos. Radicado 202520006065 (1 folio)Respuestas secretaría de Salud. Radicado 202520006128 (7 folios)Referencia cruzada, Memorando inasistencia por incapacidad medica concejala Paulina Suárez Roldán. Radicado 202530004387 (1 folio)Referencia cruzada, Memorando inasistencia por hospitalización medica concejala Claudia Carrasquilla Minami. Radicado 202530004426 (1 folio)Audio sesión plenaria (1 folio)Transcribió: Nora Álvarez Castro</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Sandra Milena Soto Osorio</w:t>
      </w:r>
    </w:p>
    <w:p>
      <w:pPr>
        <w:spacing w:after="240" w:line="360"/>
        <w:jc w:val="both"/>
      </w:pPr>
      <w:r>
        <w:rPr>
          <w:rFonts w:ascii="Arial" w:cs="Arial" w:eastAsia="Arial" w:hAnsi="Arial"/>
          <w:sz w:val="24"/>
          <w:szCs w:val="24"/>
        </w:rPr>
        <w:t xml:space="preserve">Revisó:        Ruth Tatiana Navarro Agredo</w:t>
      </w:r>
    </w:p>
    <w:sectPr>
      <w:headerReference w:type="default" r:id="rId6"/>
      <w:footerReference w:type="default" r:id="rId7"/>
      <w:pgSz w:w="11906" w:h="16838" w:orient="portrait"/>
      <w:pgMar w:top="1440" w:right="1440" w:bottom="1440" w:left="170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rPr>
        <w:sz w:val="16"/>
        <w:szCs w:val="16"/>
      </w:rPr>
      <w:t xml:space="preserve">Acta 355 - Página </w:t>
    </w:r>
    <w:r>
      <w:rPr>
        <w:sz w:val="16"/>
        <w:szCs w:val="16"/>
      </w:rPr>
      <w:fldChar w:fldCharType="begin"/>
      <w:instrText xml:space="preserve">PAGE</w:instrText>
      <w:fldChar w:fldCharType="separate"/>
      <w:fldChar w:fldCharType="end"/>
    </w:r>
    <w:r>
      <w:rPr>
        <w:sz w:val="16"/>
        <w:szCs w:val="16"/>
      </w:rPr>
      <w:t xml:space="preserve"> de </w:t>
    </w:r>
    <w:r>
      <w:rPr>
        <w:sz w:val="16"/>
        <w:szCs w:val="16"/>
      </w:rP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left"/>
    </w:pPr>
    <w:r>
      <w:drawing>
        <wp:inline distT="0" distB="0" distL="0" distR="0">
          <wp:extent cx="476250" cy="20913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476250" cy="209136"/>
                  </a:xfrm>
                  <a:prstGeom prst="rect">
                    <a:avLst/>
                  </a:prstGeom>
                </pic:spPr>
              </pic:pic>
            </a:graphicData>
          </a:graphic>
        </wp:inline>
      </w:drawing>
    </w:r>
    <w:r>
      <w:rPr>
        <w:b/>
        <w:bCs/>
        <w:sz w:val="18"/>
        <w:szCs w:val="18"/>
      </w:rPr>
      <w:t xml:space="preserve">  CONCEJO DISTRITAL DE MEDELLÍN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b6843984a0253c3fc305fa28b1911ed2fb2979be.undefined"/><Relationship Id="rId9" Type="http://schemas.openxmlformats.org/officeDocument/2006/relationships/image" Target="media/bf6ee7b097b9181b56c2bd96db2d3b01ea2a5125.undefined"/><Relationship Id="rId10" Type="http://schemas.openxmlformats.org/officeDocument/2006/relationships/image" Target="media/453bb5fa8dec45198c5917561b9aa556686ca668.undefined"/><Relationship Id="rId11" Type="http://schemas.openxmlformats.org/officeDocument/2006/relationships/image" Target="media/c4ace799bf084a9bd7e656920e875de375249447.undefined"/><Relationship Id="rId12" Type="http://schemas.openxmlformats.org/officeDocument/2006/relationships/image" Target="media/6cb7ff059708c613264cf3b7ee22b0f251648346.undefined"/><Relationship Id="rId13" Type="http://schemas.openxmlformats.org/officeDocument/2006/relationships/image" Target="media/5acbdf24e7de29a36e9a8e37b9c836342b64bbfd.undefined"/><Relationship Id="rId14" Type="http://schemas.openxmlformats.org/officeDocument/2006/relationships/image" Target="media/54f48d60a914988e12229ccc10020af413a7b0f0.undefined"/><Relationship Id="rId15" Type="http://schemas.openxmlformats.org/officeDocument/2006/relationships/image" Target="media/a93ff5047d3aad8f641a1be26aa4f984b1dfa075.undefined"/><Relationship Id="rId16" Type="http://schemas.openxmlformats.org/officeDocument/2006/relationships/image" Target="media/6c4ee265348afa11186863057e308f32efb178ea.undefined"/><Relationship Id="rId17" Type="http://schemas.openxmlformats.org/officeDocument/2006/relationships/image" Target="media/c0a5775815d3e237fd96c06ab1c341bdc52b97bb.undefined"/><Relationship Id="rId18" Type="http://schemas.openxmlformats.org/officeDocument/2006/relationships/image" Target="media/9af72c1572f0b643a52464715f4039264f8200fe.undefined"/><Relationship Id="rId19" Type="http://schemas.openxmlformats.org/officeDocument/2006/relationships/image" Target="media/323c74a81ba66bac7420bffb044e9d485d83db90.undefined"/><Relationship Id="rId20" Type="http://schemas.openxmlformats.org/officeDocument/2006/relationships/image" Target="media/e336b399729bf4dd2633208ef8924b06bfcef4a9.undefined"/><Relationship Id="rId21" Type="http://schemas.openxmlformats.org/officeDocument/2006/relationships/image" Target="media/795c2dd41f33519f086c57448dfe9f619461aeed.undefined"/><Relationship Id="rId22" Type="http://schemas.openxmlformats.org/officeDocument/2006/relationships/image" Target="media/f71e7dc8f4032ee5186cd43b8defe17fb66eede2.undefined"/><Relationship Id="rId23" Type="http://schemas.openxmlformats.org/officeDocument/2006/relationships/image" Target="media/d8b3be8ca3c698bd60f31b40c461b85dd2457e90.undefined"/><Relationship Id="rId24" Type="http://schemas.openxmlformats.org/officeDocument/2006/relationships/image" Target="media/675fe48ee15858260ffebe6525670c64619eeb5f.undefined"/><Relationship Id="rId25" Type="http://schemas.openxmlformats.org/officeDocument/2006/relationships/image" Target="media/2545ccdb50e9bdcde8f5c5450c54b2cd0bb46778.undefined"/><Relationship Id="rId26" Type="http://schemas.openxmlformats.org/officeDocument/2006/relationships/image" Target="media/37968fa4f2aef93a6d08af9f67641f8b38d7dd59.undefined"/><Relationship Id="rId27" Type="http://schemas.openxmlformats.org/officeDocument/2006/relationships/image" Target="media/f840e818f1bbf5530d1764635224bd1d8b6ebd99.undefined"/><Relationship Id="rId28"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Relationship Id="rId0" Type="http://schemas.openxmlformats.org/officeDocument/2006/relationships/image" Target="media/21341c2d6453064f9dc410cae54bf0c375003386.undefined"/></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2026-02-03T19:13:37.869Z</dcterms:created>
  <dcterms:modified xsi:type="dcterms:W3CDTF">2026-02-03T19:13:37.869Z</dcterms:modified>
</cp:coreProperties>
</file>

<file path=docProps/custom.xml><?xml version="1.0" encoding="utf-8"?>
<Properties xmlns="http://schemas.openxmlformats.org/officeDocument/2006/custom-properties" xmlns:vt="http://schemas.openxmlformats.org/officeDocument/2006/docPropsVTypes"/>
</file>